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EB3DE" w14:textId="71012374" w:rsidR="002024BE" w:rsidRDefault="00B44A2F" w:rsidP="00B44A2F">
      <w:pPr>
        <w:pStyle w:val="Overskrift1"/>
      </w:pPr>
      <w:r>
        <w:t xml:space="preserve">Notat </w:t>
      </w:r>
      <w:r w:rsidR="00954365">
        <w:t xml:space="preserve">om endring av grenser </w:t>
      </w:r>
      <w:r>
        <w:t xml:space="preserve">til revidert </w:t>
      </w:r>
      <w:proofErr w:type="spellStart"/>
      <w:r>
        <w:t>oppstartsmelding</w:t>
      </w:r>
      <w:proofErr w:type="spellEnd"/>
      <w:r w:rsidR="00577D78">
        <w:t xml:space="preserve"> i Vågå</w:t>
      </w:r>
      <w:r>
        <w:t xml:space="preserve"> for utvidelse av Jotunheimen nasjonalpark</w:t>
      </w:r>
    </w:p>
    <w:p w14:paraId="0813F995" w14:textId="51684BD3" w:rsidR="00B44A2F" w:rsidRDefault="00B44A2F" w:rsidP="00B44A2F">
      <w:pPr>
        <w:pStyle w:val="Overskrift2"/>
      </w:pPr>
      <w:r>
        <w:t>Bakgrunn</w:t>
      </w:r>
    </w:p>
    <w:p w14:paraId="2BB71D6A" w14:textId="5193EEF7" w:rsidR="00B44A2F" w:rsidRDefault="00B44A2F" w:rsidP="00B44A2F">
      <w:r>
        <w:t>Statsforvalteren i Innlandet og Statsforvalteren i Vestland har siden 2022/23 jobbet med utvidelse av Jotunheimen nasjonalpark, i tråd med oppdraget «Bevaring av verdifull natur – nasjonalpark». En forutsetning i oppdraget er at det skal gis kommunal aksept for en ev. utvidelse. All skog under oppdraget kan kun inngå i et vern, dersom grunneier tilbyr skogen frivillig</w:t>
      </w:r>
      <w:r w:rsidR="0C57D84B">
        <w:t>, mot en avtale om erstatning fra Staten.</w:t>
      </w:r>
    </w:p>
    <w:p w14:paraId="3C589EFD" w14:textId="6A4C157A" w:rsidR="005D5349" w:rsidRDefault="272C4D62" w:rsidP="12788FA3">
      <w:r>
        <w:t xml:space="preserve">Vågå kommune har gitt aksept for utredning av utvidelse av Jotunheimen nasjonalpark i tre delområder – Hindflye, Leirungsdalen/Knutshø og Besstrondfjellet. Det ble meldt oppstart for de to førstnevnte arealene 30. mai 2025, og det meldes oppstart for Besstrondfjellet </w:t>
      </w:r>
      <w:r w:rsidR="26719657">
        <w:t xml:space="preserve">nå </w:t>
      </w:r>
      <w:r>
        <w:t>i 2026.</w:t>
      </w:r>
      <w:r w:rsidR="26719657">
        <w:t xml:space="preserve"> </w:t>
      </w:r>
      <w:r w:rsidR="19FFB2A1">
        <w:t xml:space="preserve">Det er skog innenfor alle de tre utredningsarealene. </w:t>
      </w:r>
      <w:r>
        <w:t>Statskog er grunneier</w:t>
      </w:r>
      <w:r w:rsidR="26719657">
        <w:t>, mens virkesretten tilhører og forvaltes av Langmorkje allmenning.</w:t>
      </w:r>
    </w:p>
    <w:p w14:paraId="1B81493F" w14:textId="12566AD9" w:rsidR="00B44A2F" w:rsidRDefault="005D5349" w:rsidP="00B44A2F">
      <w:r>
        <w:t xml:space="preserve">Langmorkje allmenning </w:t>
      </w:r>
      <w:r w:rsidR="0C94E08F">
        <w:t xml:space="preserve">ønsker ikke å tilby noe av skogen </w:t>
      </w:r>
      <w:r w:rsidR="24F15AB2">
        <w:t xml:space="preserve">for vern </w:t>
      </w:r>
      <w:r w:rsidR="0C94E08F">
        <w:t xml:space="preserve">innenfor </w:t>
      </w:r>
      <w:r>
        <w:t>de tre delområdene, og det sendes følgelig ut en supplerende og revidert oppstartsmelding hvor skogarealene er grenset ut.</w:t>
      </w:r>
    </w:p>
    <w:p w14:paraId="2878F45F" w14:textId="5E18F48C" w:rsidR="005D5349" w:rsidRDefault="005D5349" w:rsidP="005D5349">
      <w:pPr>
        <w:pStyle w:val="Overskrift2"/>
      </w:pPr>
      <w:r>
        <w:t>Konsekvenser av endret avgrensning</w:t>
      </w:r>
    </w:p>
    <w:p w14:paraId="55B95BCB" w14:textId="0745705D" w:rsidR="005D5349" w:rsidRDefault="005D5349" w:rsidP="00954365">
      <w:pPr>
        <w:pStyle w:val="Overskrift3"/>
      </w:pPr>
      <w:r>
        <w:t>Overordnet</w:t>
      </w:r>
    </w:p>
    <w:p w14:paraId="6F7336CC" w14:textId="5B7D0A89" w:rsidR="005D5349" w:rsidRDefault="005D5349" w:rsidP="005D5349">
      <w:r>
        <w:t>Konsekvensene av at nær sagt all skog må grenses ut av framtidig utredningsareal vil være betydelige, særlig for Leirungsdalen/Knutshø og Hindflye, men også i noen grad Besstrondfjellet.</w:t>
      </w:r>
    </w:p>
    <w:p w14:paraId="06058BAD" w14:textId="0CA3FC4F" w:rsidR="005D5349" w:rsidRDefault="005D5349" w:rsidP="00954365">
      <w:pPr>
        <w:pStyle w:val="Overskrift3"/>
      </w:pPr>
      <w:r>
        <w:t>Hindflye</w:t>
      </w:r>
    </w:p>
    <w:p w14:paraId="1940CE48" w14:textId="1D9FB59C" w:rsidR="005D5349" w:rsidRPr="00954365" w:rsidRDefault="005D5349" w:rsidP="616525A0">
      <w:pPr>
        <w:rPr>
          <w:rFonts w:eastAsiaTheme="minorEastAsia"/>
        </w:rPr>
      </w:pPr>
      <w:r w:rsidRPr="616525A0">
        <w:rPr>
          <w:rFonts w:eastAsiaTheme="minorEastAsia"/>
        </w:rPr>
        <w:t>Dette området har et karakteristisk fjellandskap med flatere fjellflypartier som går over i lisider med særpregete elvegjelformasjoner og skog</w:t>
      </w:r>
      <w:r w:rsidR="00954365" w:rsidRPr="616525A0">
        <w:rPr>
          <w:rFonts w:eastAsiaTheme="minorEastAsia"/>
        </w:rPr>
        <w:t xml:space="preserve">. Figur 1 viser området, inkl. arealer med skog over fem meters høyde (markert med grønt). Skogen som grenses ut i dette området utgjør ca. </w:t>
      </w:r>
      <w:r w:rsidR="000A0258">
        <w:rPr>
          <w:rFonts w:eastAsiaTheme="minorEastAsia"/>
        </w:rPr>
        <w:t>2,7</w:t>
      </w:r>
      <w:r w:rsidR="00954365" w:rsidRPr="616525A0">
        <w:rPr>
          <w:rFonts w:eastAsiaTheme="minorEastAsia"/>
        </w:rPr>
        <w:t xml:space="preserve"> km</w:t>
      </w:r>
      <w:r w:rsidR="00954365" w:rsidRPr="616525A0">
        <w:rPr>
          <w:rFonts w:eastAsiaTheme="minorEastAsia"/>
          <w:vertAlign w:val="superscript"/>
        </w:rPr>
        <w:t>2</w:t>
      </w:r>
      <w:r w:rsidR="00954365" w:rsidRPr="616525A0">
        <w:rPr>
          <w:rFonts w:eastAsiaTheme="minorEastAsia"/>
        </w:rPr>
        <w:t>.</w:t>
      </w:r>
      <w:r w:rsidRPr="616525A0">
        <w:rPr>
          <w:rFonts w:eastAsiaTheme="minorEastAsia"/>
        </w:rPr>
        <w:t xml:space="preserve"> </w:t>
      </w:r>
    </w:p>
    <w:p w14:paraId="1983BA8C" w14:textId="16638185" w:rsidR="00954365" w:rsidRPr="00954365" w:rsidRDefault="00954365" w:rsidP="616525A0">
      <w:pPr>
        <w:rPr>
          <w:rFonts w:cs="Open Sans"/>
        </w:rPr>
      </w:pPr>
      <w:r w:rsidRPr="616525A0">
        <w:rPr>
          <w:rFonts w:eastAsiaTheme="minorEastAsia"/>
        </w:rPr>
        <w:t>Ved å grense ut skogen faller også flere forekomster av naturtypene gammel furuskog,</w:t>
      </w:r>
      <w:r w:rsidR="172516C9" w:rsidRPr="616525A0">
        <w:rPr>
          <w:rFonts w:eastAsiaTheme="minorEastAsia"/>
        </w:rPr>
        <w:t xml:space="preserve"> boreal hei, slåttemyr, rik åpen jordvannsmyr, naturbeitemark</w:t>
      </w:r>
      <w:r w:rsidRPr="616525A0">
        <w:rPr>
          <w:rFonts w:eastAsiaTheme="minorEastAsia"/>
        </w:rPr>
        <w:t xml:space="preserve"> ut. Et av særpregene med landskapet i Hindflye er de mange elvehjelformasjonene i de bløte næringsrike bergartene, og ved å grense ut skogen vil de nedre delene av elveløpene utelates fra vernet.  Arealene med bjørkeskog langs Russa grenses også ut, og en mister med dette vern av de lavereliggende naturtypene og overgangen mellom</w:t>
      </w:r>
      <w:r w:rsidRPr="616525A0">
        <w:rPr>
          <w:rFonts w:cs="Open Sans"/>
        </w:rPr>
        <w:t xml:space="preserve"> fjell og skog. En taper også </w:t>
      </w:r>
      <w:r w:rsidRPr="616525A0">
        <w:rPr>
          <w:rFonts w:cs="Open Sans"/>
        </w:rPr>
        <w:lastRenderedPageBreak/>
        <w:t xml:space="preserve">mulighetene til å binde sammen Jotunheimen nasjonalpark med naturreservatene Baklie og Veogjelet, og det gir vernegrensen en uheldig arrondering. Vernet vil likevel kunne sikre de åpne fjellflyene med begynnende elvegjeldannelse, samt næringsrike naturbeitemarker. </w:t>
      </w:r>
    </w:p>
    <w:p w14:paraId="64E47935" w14:textId="73DEDAEB" w:rsidR="00954365" w:rsidRDefault="00954365" w:rsidP="005D5349">
      <w:r w:rsidRPr="00492EB8">
        <w:rPr>
          <w:rFonts w:ascii="Open Sans" w:hAnsi="Open Sans" w:cs="Open Sans"/>
          <w:noProof/>
          <w:sz w:val="20"/>
          <w:szCs w:val="20"/>
        </w:rPr>
        <w:drawing>
          <wp:inline distT="0" distB="0" distL="0" distR="0" wp14:anchorId="47814C93" wp14:editId="57450D82">
            <wp:extent cx="4857007" cy="5514055"/>
            <wp:effectExtent l="0" t="0" r="1270" b="0"/>
            <wp:docPr id="11834756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4197" name=""/>
                    <pic:cNvPicPr/>
                  </pic:nvPicPr>
                  <pic:blipFill>
                    <a:blip r:embed="rId7"/>
                    <a:stretch>
                      <a:fillRect/>
                    </a:stretch>
                  </pic:blipFill>
                  <pic:spPr>
                    <a:xfrm>
                      <a:off x="0" y="0"/>
                      <a:ext cx="4913928" cy="5578676"/>
                    </a:xfrm>
                    <a:prstGeom prst="rect">
                      <a:avLst/>
                    </a:prstGeom>
                  </pic:spPr>
                </pic:pic>
              </a:graphicData>
            </a:graphic>
          </wp:inline>
        </w:drawing>
      </w:r>
    </w:p>
    <w:p w14:paraId="2C7C829F" w14:textId="07137E29" w:rsidR="00F1138C" w:rsidRDefault="00954365" w:rsidP="616525A0">
      <w:pPr>
        <w:rPr>
          <w:rFonts w:ascii="Open Sans" w:hAnsi="Open Sans" w:cs="Open Sans"/>
          <w:i/>
          <w:iCs/>
          <w:sz w:val="20"/>
          <w:szCs w:val="20"/>
        </w:rPr>
      </w:pPr>
      <w:r w:rsidRPr="616525A0">
        <w:rPr>
          <w:rFonts w:ascii="Open Sans" w:hAnsi="Open Sans" w:cs="Open Sans"/>
          <w:i/>
          <w:iCs/>
          <w:sz w:val="20"/>
          <w:szCs w:val="20"/>
        </w:rPr>
        <w:t>Fig 1. Opprinnelig utredningsareal for delområdet ved Hindflye</w:t>
      </w:r>
      <w:r w:rsidR="00F1138C" w:rsidRPr="616525A0">
        <w:rPr>
          <w:rFonts w:ascii="Open Sans" w:hAnsi="Open Sans" w:cs="Open Sans"/>
          <w:i/>
          <w:iCs/>
          <w:sz w:val="20"/>
          <w:szCs w:val="20"/>
        </w:rPr>
        <w:t xml:space="preserve"> er vist i lilla. Markeringene i grønt i nedre del av kartutsnittet viser skog med høyde over 5 meter.</w:t>
      </w:r>
    </w:p>
    <w:p w14:paraId="614C5F68" w14:textId="7AB9C38C" w:rsidR="00F1138C" w:rsidRPr="00F1138C" w:rsidRDefault="00F1138C" w:rsidP="00F1138C">
      <w:pPr>
        <w:pStyle w:val="Overskrift3"/>
      </w:pPr>
      <w:r>
        <w:lastRenderedPageBreak/>
        <w:t>Leirungsdalen med Knutshø</w:t>
      </w:r>
      <w:r>
        <w:br/>
      </w:r>
      <w:r w:rsidRPr="616525A0">
        <w:rPr>
          <w:color w:val="000000" w:themeColor="text1"/>
          <w:sz w:val="24"/>
          <w:szCs w:val="24"/>
        </w:rPr>
        <w:t>Det er arealene rundt Knutshø, Nedre Leirungen og Gjendehøe som har til dels betydelige innslag med fjellbjørkeskog. Deler av de flatere partiene som utgjør L</w:t>
      </w:r>
      <w:r w:rsidR="095C4288" w:rsidRPr="616525A0">
        <w:rPr>
          <w:color w:val="000000" w:themeColor="text1"/>
          <w:sz w:val="24"/>
          <w:szCs w:val="24"/>
        </w:rPr>
        <w:t>e</w:t>
      </w:r>
      <w:r w:rsidRPr="616525A0">
        <w:rPr>
          <w:color w:val="000000" w:themeColor="text1"/>
          <w:sz w:val="24"/>
          <w:szCs w:val="24"/>
        </w:rPr>
        <w:t>irungsmyrin har bjørkeskog i kantene. Området nord for Vargebakkan ligger noe lavere enn Leirungsmyrin, og framstår som et mer frodig landskap. Ved utløpet av Nedre Leirungen ligger det små buer/fiskebuer med beitepåvirkede naturtyper rundt, her er det høyt artsmangfold. Det er større arealer med fjellbjørkeskog som kryper oppover sidene på Knutshøe og Gjendehøe. Området her preges også av våtmarker. Knutshøe står som et markant og karakteristisk landskapselement og skaper et skille mellom de sørlige områder i delområdet med Leirungsmyrin og de lavereliggende områdene i nord med Nedre Leirungen og området ned mot Gjendeosen/øvre deler av Sjoa. Området fra Nedre Leirungen til Sjoa er småkupert med en mosaikk av fjellbjørkeskog, kjerr, gras, lyng og urter, med innslag av myrpartier, rabbeområder og vannspeil.</w:t>
      </w:r>
      <w:r>
        <w:br/>
      </w:r>
      <w:r>
        <w:br/>
      </w:r>
      <w:r>
        <w:rPr>
          <w:noProof/>
        </w:rPr>
        <w:drawing>
          <wp:inline distT="0" distB="0" distL="0" distR="0" wp14:anchorId="25A1FB47" wp14:editId="00DC0219">
            <wp:extent cx="5772150" cy="5253020"/>
            <wp:effectExtent l="0" t="0" r="0" b="5080"/>
            <wp:docPr id="103361408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1852" cy="5289151"/>
                    </a:xfrm>
                    <a:prstGeom prst="rect">
                      <a:avLst/>
                    </a:prstGeom>
                    <a:noFill/>
                  </pic:spPr>
                </pic:pic>
              </a:graphicData>
            </a:graphic>
          </wp:inline>
        </w:drawing>
      </w:r>
      <w:r w:rsidRPr="616525A0">
        <w:rPr>
          <w:rFonts w:ascii="Open Sans" w:hAnsi="Open Sans" w:cs="Open Sans"/>
          <w:i/>
          <w:iCs/>
          <w:color w:val="000000" w:themeColor="text1"/>
          <w:sz w:val="20"/>
          <w:szCs w:val="20"/>
        </w:rPr>
        <w:t>Fig 2. Området rundt Knutshø og Nedre Leirungen er omkranset av fjellbjørkeskog. Opprinnelig utredningsareal vist i lilla, og markeringene i grønt viser skog med høyde over 5 meter.</w:t>
      </w:r>
    </w:p>
    <w:p w14:paraId="364544F8" w14:textId="476681C3" w:rsidR="00F1138C" w:rsidRPr="00BE5889" w:rsidRDefault="00F1138C" w:rsidP="00F1138C">
      <w:pPr>
        <w:rPr>
          <w:rFonts w:cs="Open Sans"/>
        </w:rPr>
      </w:pPr>
      <w:r w:rsidRPr="12788FA3">
        <w:rPr>
          <w:rFonts w:cs="Open Sans"/>
        </w:rPr>
        <w:lastRenderedPageBreak/>
        <w:t>Mosaikken av fjellbjørkeskog og andre naturtyper gjør at det er vanskelig å få til et vern med tilfredsstillende arrondering, når all skog grenses ut. Fjellbjørkeskogene kryper tett på både Knutshøe, Gjendeshø og Nedre Leirungen, og landskapsverdier av nasjonal verdi i disse områdene vil derfor utgå i en framtidig nasjonalpark.</w:t>
      </w:r>
    </w:p>
    <w:p w14:paraId="45762A95" w14:textId="44974193" w:rsidR="00F1138C" w:rsidRPr="00BE5889" w:rsidRDefault="00F1138C" w:rsidP="00F1138C">
      <w:pPr>
        <w:rPr>
          <w:rFonts w:cs="Open Sans"/>
        </w:rPr>
      </w:pPr>
      <w:r w:rsidRPr="616525A0">
        <w:rPr>
          <w:rFonts w:cs="Open Sans"/>
        </w:rPr>
        <w:t xml:space="preserve">Ved å grense ut skogen </w:t>
      </w:r>
      <w:r w:rsidR="1FA88D80" w:rsidRPr="616525A0">
        <w:rPr>
          <w:rFonts w:cs="Open Sans"/>
        </w:rPr>
        <w:t xml:space="preserve">med de tilliggende arealer i mellom </w:t>
      </w:r>
      <w:r w:rsidRPr="616525A0">
        <w:rPr>
          <w:rFonts w:cs="Open Sans"/>
        </w:rPr>
        <w:t>vil også flere verdifulle naturtyper</w:t>
      </w:r>
      <w:r w:rsidR="7B0EF471" w:rsidRPr="616525A0">
        <w:rPr>
          <w:rFonts w:cs="Open Sans"/>
        </w:rPr>
        <w:t xml:space="preserve"> måtte</w:t>
      </w:r>
      <w:r w:rsidRPr="616525A0">
        <w:rPr>
          <w:rFonts w:cs="Open Sans"/>
        </w:rPr>
        <w:t xml:space="preserve"> utelates fra vernet, f.eks. rasmarker ved Knutshø, kulturlandskapet ved Nedre Leirungen/Leirungsbuin, myr- og elvelandskapet ned mot Øvre Leirungen og boreal hei ved Gjendeshøe sør. Kulturminnene/kulturmiljø ved Gjendeosen med bl.a. Jo-Gjende bue, og kulturmiljøet av mindre fiskebuer ved Nedre Leirungen vil også </w:t>
      </w:r>
      <w:r w:rsidR="569BCE0C" w:rsidRPr="616525A0">
        <w:rPr>
          <w:rFonts w:cs="Open Sans"/>
        </w:rPr>
        <w:t xml:space="preserve">måtte falle ut </w:t>
      </w:r>
      <w:r w:rsidRPr="616525A0">
        <w:rPr>
          <w:rFonts w:cs="Open Sans"/>
        </w:rPr>
        <w:t>falle ut.</w:t>
      </w:r>
      <w:r w:rsidR="2421DE56" w:rsidRPr="616525A0">
        <w:rPr>
          <w:rFonts w:cs="Open Sans"/>
        </w:rPr>
        <w:t xml:space="preserve"> Vi har derfor falt ned på å grense ut skogen slik den faktisk er avgrenset etter skogdefinisjonen (høyere trær enn 5 m, kroned</w:t>
      </w:r>
      <w:r w:rsidR="38956E1E" w:rsidRPr="616525A0">
        <w:rPr>
          <w:rFonts w:cs="Open Sans"/>
        </w:rPr>
        <w:t xml:space="preserve">ekning over 10 %, og min 1 daa). </w:t>
      </w:r>
      <w:r w:rsidR="005077FC">
        <w:rPr>
          <w:rFonts w:cs="Open Sans"/>
        </w:rPr>
        <w:t>Dette utgjør ca 2 km</w:t>
      </w:r>
      <w:r w:rsidR="00A07C26" w:rsidRPr="00A07C26">
        <w:rPr>
          <w:rFonts w:cs="Open Sans"/>
          <w:vertAlign w:val="superscript"/>
        </w:rPr>
        <w:t>2</w:t>
      </w:r>
      <w:r w:rsidR="00A07C26">
        <w:rPr>
          <w:rFonts w:cs="Open Sans"/>
        </w:rPr>
        <w:t xml:space="preserve">. </w:t>
      </w:r>
      <w:r w:rsidR="38956E1E" w:rsidRPr="616525A0">
        <w:rPr>
          <w:rFonts w:cs="Open Sans"/>
        </w:rPr>
        <w:t>Tilgangen for å drive skogbruk, bl</w:t>
      </w:r>
      <w:r w:rsidR="6A2D46C0" w:rsidRPr="616525A0">
        <w:rPr>
          <w:rFonts w:cs="Open Sans"/>
        </w:rPr>
        <w:t>.a. gjennom å komme til med maskiner, må gjøres gjennom tilpasninger i verneforskriften.</w:t>
      </w:r>
    </w:p>
    <w:p w14:paraId="000CFDF1" w14:textId="0D76C2A6" w:rsidR="00F1138C" w:rsidRDefault="00F1138C" w:rsidP="00F1138C">
      <w:pPr>
        <w:rPr>
          <w:rFonts w:ascii="Open Sans" w:hAnsi="Open Sans" w:cs="Open Sans"/>
          <w:sz w:val="20"/>
          <w:szCs w:val="20"/>
        </w:rPr>
      </w:pPr>
      <w:r w:rsidRPr="00492EB8">
        <w:rPr>
          <w:rFonts w:ascii="Open Sans" w:hAnsi="Open Sans" w:cs="Open Sans"/>
          <w:noProof/>
          <w:sz w:val="20"/>
          <w:szCs w:val="20"/>
        </w:rPr>
        <w:drawing>
          <wp:inline distT="0" distB="0" distL="0" distR="0" wp14:anchorId="20160159" wp14:editId="13E828BF">
            <wp:extent cx="5760720" cy="3329940"/>
            <wp:effectExtent l="0" t="0" r="0" b="3810"/>
            <wp:docPr id="1865738929" name="Bilde 1" descr="Fjell, vann og 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ll, vann og himm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p w14:paraId="2FCF2E83" w14:textId="77777777" w:rsidR="00F1138C" w:rsidRDefault="00F1138C" w:rsidP="00F1138C">
      <w:pPr>
        <w:rPr>
          <w:rFonts w:ascii="Open Sans" w:hAnsi="Open Sans" w:cs="Open Sans"/>
          <w:i/>
          <w:iCs/>
          <w:sz w:val="20"/>
          <w:szCs w:val="20"/>
        </w:rPr>
      </w:pPr>
      <w:r w:rsidRPr="0028563B">
        <w:rPr>
          <w:rFonts w:ascii="Open Sans" w:hAnsi="Open Sans" w:cs="Open Sans"/>
          <w:i/>
          <w:iCs/>
          <w:sz w:val="20"/>
          <w:szCs w:val="20"/>
        </w:rPr>
        <w:t>Fig 3.</w:t>
      </w:r>
      <w:r>
        <w:rPr>
          <w:rFonts w:ascii="Open Sans" w:hAnsi="Open Sans" w:cs="Open Sans"/>
          <w:i/>
          <w:iCs/>
          <w:sz w:val="20"/>
          <w:szCs w:val="20"/>
        </w:rPr>
        <w:t xml:space="preserve"> Knutshø med Nedre Leirungen t.v. – med Jotunheimen NP med Besshø og Besseggen i bakgrunnen. Et landskap med nasjonale landskap- og naturverdier. </w:t>
      </w:r>
      <w:r w:rsidRPr="00492EB8">
        <w:rPr>
          <w:rFonts w:ascii="Open Sans" w:hAnsi="Open Sans" w:cs="Open Sans"/>
          <w:i/>
          <w:iCs/>
          <w:sz w:val="20"/>
          <w:szCs w:val="20"/>
        </w:rPr>
        <w:t>Foto: Kari Sveen</w:t>
      </w:r>
    </w:p>
    <w:p w14:paraId="467C7632" w14:textId="756292F5" w:rsidR="00F1138C" w:rsidRDefault="00E32D6E" w:rsidP="00E32D6E">
      <w:pPr>
        <w:pStyle w:val="Overskrift3"/>
      </w:pPr>
      <w:r>
        <w:t>Besstrondfjellet</w:t>
      </w:r>
    </w:p>
    <w:p w14:paraId="7B5D1C37" w14:textId="640D7D96" w:rsidR="00E32D6E" w:rsidRDefault="00E32D6E" w:rsidP="00E32D6E">
      <w:r>
        <w:t>Dette området er foreløpig ikke kartlagt naturfaglig. Fra tidligere vet vi imidlertid at området er svært botanisk rikt, med samme næringsrike berggrunn som Hindflye. Området har få naturinngrep. Det er en del bjørkeskog i nedre del av området</w:t>
      </w:r>
      <w:r w:rsidR="00A07C26">
        <w:t xml:space="preserve"> som vil gå inn under skogdefinisjonen</w:t>
      </w:r>
      <w:r w:rsidR="0028563B">
        <w:t xml:space="preserve"> og </w:t>
      </w:r>
      <w:r>
        <w:t>som grenses ut</w:t>
      </w:r>
      <w:r w:rsidR="0028563B">
        <w:t xml:space="preserve">. Dette </w:t>
      </w:r>
      <w:r>
        <w:t>som følge av</w:t>
      </w:r>
      <w:r w:rsidR="00CC1445">
        <w:t xml:space="preserve"> at </w:t>
      </w:r>
      <w:r w:rsidR="00766B14">
        <w:t>rettighetshaver</w:t>
      </w:r>
      <w:r w:rsidR="00CC1445">
        <w:t xml:space="preserve"> ikke</w:t>
      </w:r>
      <w:r w:rsidR="006228C6">
        <w:t xml:space="preserve"> ønsker å tilby</w:t>
      </w:r>
      <w:r w:rsidR="00251175">
        <w:t xml:space="preserve"> skogen</w:t>
      </w:r>
      <w:r w:rsidR="00F30B96">
        <w:t xml:space="preserve"> til vern. </w:t>
      </w:r>
    </w:p>
    <w:p w14:paraId="63607E45" w14:textId="77777777" w:rsidR="00E32D6E" w:rsidRPr="00E32D6E" w:rsidRDefault="00E32D6E" w:rsidP="00E32D6E"/>
    <w:sectPr w:rsidR="00E32D6E" w:rsidRPr="00E32D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A2F"/>
    <w:rsid w:val="000A0258"/>
    <w:rsid w:val="000B1665"/>
    <w:rsid w:val="000F5D70"/>
    <w:rsid w:val="0011650F"/>
    <w:rsid w:val="00166CEC"/>
    <w:rsid w:val="001C523A"/>
    <w:rsid w:val="001F3209"/>
    <w:rsid w:val="002024BE"/>
    <w:rsid w:val="0024221D"/>
    <w:rsid w:val="00251175"/>
    <w:rsid w:val="00253A7C"/>
    <w:rsid w:val="00265987"/>
    <w:rsid w:val="0028563B"/>
    <w:rsid w:val="0029644B"/>
    <w:rsid w:val="002A7A92"/>
    <w:rsid w:val="002C46CB"/>
    <w:rsid w:val="002E3E09"/>
    <w:rsid w:val="002E6FBC"/>
    <w:rsid w:val="00354237"/>
    <w:rsid w:val="00410B1C"/>
    <w:rsid w:val="0041455C"/>
    <w:rsid w:val="00427510"/>
    <w:rsid w:val="004350EB"/>
    <w:rsid w:val="004C1CFF"/>
    <w:rsid w:val="004C2623"/>
    <w:rsid w:val="004E1F9D"/>
    <w:rsid w:val="004E707F"/>
    <w:rsid w:val="005077FC"/>
    <w:rsid w:val="00527205"/>
    <w:rsid w:val="00574746"/>
    <w:rsid w:val="00577D78"/>
    <w:rsid w:val="005D5349"/>
    <w:rsid w:val="005E5717"/>
    <w:rsid w:val="00615351"/>
    <w:rsid w:val="00617C8B"/>
    <w:rsid w:val="006228C6"/>
    <w:rsid w:val="006F6149"/>
    <w:rsid w:val="00706072"/>
    <w:rsid w:val="00766B14"/>
    <w:rsid w:val="00793D0E"/>
    <w:rsid w:val="007A02E5"/>
    <w:rsid w:val="007B0E25"/>
    <w:rsid w:val="00816FE0"/>
    <w:rsid w:val="00834D86"/>
    <w:rsid w:val="00897C58"/>
    <w:rsid w:val="008B1A8E"/>
    <w:rsid w:val="008F7A50"/>
    <w:rsid w:val="009534EF"/>
    <w:rsid w:val="00954365"/>
    <w:rsid w:val="00985E05"/>
    <w:rsid w:val="00A07C26"/>
    <w:rsid w:val="00A41436"/>
    <w:rsid w:val="00B140D3"/>
    <w:rsid w:val="00B30596"/>
    <w:rsid w:val="00B35113"/>
    <w:rsid w:val="00B44A2F"/>
    <w:rsid w:val="00B57740"/>
    <w:rsid w:val="00BC25FE"/>
    <w:rsid w:val="00BD244D"/>
    <w:rsid w:val="00BD58AF"/>
    <w:rsid w:val="00BE5889"/>
    <w:rsid w:val="00C02C61"/>
    <w:rsid w:val="00C22530"/>
    <w:rsid w:val="00C84AC3"/>
    <w:rsid w:val="00CB133D"/>
    <w:rsid w:val="00CC1445"/>
    <w:rsid w:val="00D01E83"/>
    <w:rsid w:val="00D13E3A"/>
    <w:rsid w:val="00D2014B"/>
    <w:rsid w:val="00D256A7"/>
    <w:rsid w:val="00D36305"/>
    <w:rsid w:val="00D84F73"/>
    <w:rsid w:val="00DD22CA"/>
    <w:rsid w:val="00E14002"/>
    <w:rsid w:val="00E32D6E"/>
    <w:rsid w:val="00E41197"/>
    <w:rsid w:val="00F1138C"/>
    <w:rsid w:val="00F30B96"/>
    <w:rsid w:val="00F524D0"/>
    <w:rsid w:val="00F57AB8"/>
    <w:rsid w:val="00F90128"/>
    <w:rsid w:val="00FB34E7"/>
    <w:rsid w:val="00FE52B9"/>
    <w:rsid w:val="0400B448"/>
    <w:rsid w:val="04E4E890"/>
    <w:rsid w:val="095C4288"/>
    <w:rsid w:val="0C53B40F"/>
    <w:rsid w:val="0C57D84B"/>
    <w:rsid w:val="0C94E08F"/>
    <w:rsid w:val="0CCAD15D"/>
    <w:rsid w:val="0D116DAA"/>
    <w:rsid w:val="108E8D43"/>
    <w:rsid w:val="12788FA3"/>
    <w:rsid w:val="172516C9"/>
    <w:rsid w:val="17EAFF22"/>
    <w:rsid w:val="19FFB2A1"/>
    <w:rsid w:val="1D18C979"/>
    <w:rsid w:val="1E7909E8"/>
    <w:rsid w:val="1FA88D80"/>
    <w:rsid w:val="21DE98A6"/>
    <w:rsid w:val="22B4D614"/>
    <w:rsid w:val="2421DE56"/>
    <w:rsid w:val="24F15AB2"/>
    <w:rsid w:val="2553A2CD"/>
    <w:rsid w:val="26719657"/>
    <w:rsid w:val="272C4D62"/>
    <w:rsid w:val="281C8D24"/>
    <w:rsid w:val="2844EE56"/>
    <w:rsid w:val="31C171ED"/>
    <w:rsid w:val="33CA64DF"/>
    <w:rsid w:val="34BF4B4F"/>
    <w:rsid w:val="37F98953"/>
    <w:rsid w:val="38956E1E"/>
    <w:rsid w:val="3F5FCAC9"/>
    <w:rsid w:val="4019D9E0"/>
    <w:rsid w:val="40B506BA"/>
    <w:rsid w:val="42CA0B79"/>
    <w:rsid w:val="42F890EC"/>
    <w:rsid w:val="4313C156"/>
    <w:rsid w:val="4408E12C"/>
    <w:rsid w:val="462C781A"/>
    <w:rsid w:val="4B2AD9A0"/>
    <w:rsid w:val="4CEDAB97"/>
    <w:rsid w:val="4FB0DA5F"/>
    <w:rsid w:val="569BCE0C"/>
    <w:rsid w:val="57E89903"/>
    <w:rsid w:val="57F1360B"/>
    <w:rsid w:val="587F135F"/>
    <w:rsid w:val="5999489A"/>
    <w:rsid w:val="59D84C2D"/>
    <w:rsid w:val="5D86628A"/>
    <w:rsid w:val="5E450FE4"/>
    <w:rsid w:val="616525A0"/>
    <w:rsid w:val="6298297A"/>
    <w:rsid w:val="65767E56"/>
    <w:rsid w:val="6641EFE3"/>
    <w:rsid w:val="6A2D46C0"/>
    <w:rsid w:val="6BF6EEB7"/>
    <w:rsid w:val="6C08B07C"/>
    <w:rsid w:val="6D5479A7"/>
    <w:rsid w:val="6DCCA1B9"/>
    <w:rsid w:val="74680005"/>
    <w:rsid w:val="78741AF2"/>
    <w:rsid w:val="7A178710"/>
    <w:rsid w:val="7B0EF471"/>
    <w:rsid w:val="7BDE3FDD"/>
    <w:rsid w:val="7E483FD4"/>
    <w:rsid w:val="7EE0825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68104"/>
  <w15:chartTrackingRefBased/>
  <w15:docId w15:val="{5B9F7256-68FF-485E-9112-E488A2F6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44A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B44A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B44A2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44A2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44A2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44A2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44A2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44A2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44A2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44A2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B44A2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B44A2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B44A2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B44A2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B44A2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44A2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44A2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44A2F"/>
    <w:rPr>
      <w:rFonts w:eastAsiaTheme="majorEastAsia" w:cstheme="majorBidi"/>
      <w:color w:val="272727" w:themeColor="text1" w:themeTint="D8"/>
    </w:rPr>
  </w:style>
  <w:style w:type="paragraph" w:styleId="Tittel">
    <w:name w:val="Title"/>
    <w:basedOn w:val="Normal"/>
    <w:next w:val="Normal"/>
    <w:link w:val="TittelTegn"/>
    <w:uiPriority w:val="10"/>
    <w:qFormat/>
    <w:rsid w:val="00B44A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44A2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44A2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B44A2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44A2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B44A2F"/>
    <w:rPr>
      <w:i/>
      <w:iCs/>
      <w:color w:val="404040" w:themeColor="text1" w:themeTint="BF"/>
    </w:rPr>
  </w:style>
  <w:style w:type="paragraph" w:styleId="Listeavsnitt">
    <w:name w:val="List Paragraph"/>
    <w:basedOn w:val="Normal"/>
    <w:uiPriority w:val="34"/>
    <w:qFormat/>
    <w:rsid w:val="00B44A2F"/>
    <w:pPr>
      <w:ind w:left="720"/>
      <w:contextualSpacing/>
    </w:pPr>
  </w:style>
  <w:style w:type="character" w:styleId="Sterkutheving">
    <w:name w:val="Intense Emphasis"/>
    <w:basedOn w:val="Standardskriftforavsnitt"/>
    <w:uiPriority w:val="21"/>
    <w:qFormat/>
    <w:rsid w:val="00B44A2F"/>
    <w:rPr>
      <w:i/>
      <w:iCs/>
      <w:color w:val="0F4761" w:themeColor="accent1" w:themeShade="BF"/>
    </w:rPr>
  </w:style>
  <w:style w:type="paragraph" w:styleId="Sterktsitat">
    <w:name w:val="Intense Quote"/>
    <w:basedOn w:val="Normal"/>
    <w:next w:val="Normal"/>
    <w:link w:val="SterktsitatTegn"/>
    <w:uiPriority w:val="30"/>
    <w:qFormat/>
    <w:rsid w:val="00B44A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B44A2F"/>
    <w:rPr>
      <w:i/>
      <w:iCs/>
      <w:color w:val="0F4761" w:themeColor="accent1" w:themeShade="BF"/>
    </w:rPr>
  </w:style>
  <w:style w:type="character" w:styleId="Sterkreferanse">
    <w:name w:val="Intense Reference"/>
    <w:basedOn w:val="Standardskriftforavsnitt"/>
    <w:uiPriority w:val="32"/>
    <w:qFormat/>
    <w:rsid w:val="00B44A2F"/>
    <w:rPr>
      <w:b/>
      <w:bCs/>
      <w:smallCaps/>
      <w:color w:val="0F4761" w:themeColor="accent1" w:themeShade="BF"/>
      <w:spacing w:val="5"/>
    </w:rPr>
  </w:style>
  <w:style w:type="character" w:customStyle="1" w:styleId="normaltextrun">
    <w:name w:val="normaltextrun"/>
    <w:basedOn w:val="Standardskriftforavsnitt"/>
    <w:rsid w:val="00F11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34AD2CD957344A8ED9B18206FFCD5D" ma:contentTypeVersion="11" ma:contentTypeDescription="Opprett et nytt dokument." ma:contentTypeScope="" ma:versionID="82a791b278d98d7b47471bcc2cb35e6b">
  <xsd:schema xmlns:xsd="http://www.w3.org/2001/XMLSchema" xmlns:xs="http://www.w3.org/2001/XMLSchema" xmlns:p="http://schemas.microsoft.com/office/2006/metadata/properties" xmlns:ns2="86792b2f-ef6a-4723-845d-52726c08e321" xmlns:ns3="294b63eb-b615-41f1-964e-0066b47d7340" targetNamespace="http://schemas.microsoft.com/office/2006/metadata/properties" ma:root="true" ma:fieldsID="a3df81136bb48396b2ce88314fea31ab" ns2:_="" ns3:_="">
    <xsd:import namespace="86792b2f-ef6a-4723-845d-52726c08e321"/>
    <xsd:import namespace="294b63eb-b615-41f1-964e-0066b47d73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92b2f-ef6a-4723-845d-52726c08e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emerkelapper" ma:readOnly="false" ma:fieldId="{5cf76f15-5ced-4ddc-b409-7134ff3c332f}" ma:taxonomyMulti="true" ma:sspId="08572c6a-7904-40fe-b630-5ec97321ee0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4b63eb-b615-41f1-964e-0066b47d734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607a012-26d0-4019-9194-f86c78402eae}" ma:internalName="TaxCatchAll" ma:showField="CatchAllData" ma:web="294b63eb-b615-41f1-964e-0066b47d7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792b2f-ef6a-4723-845d-52726c08e321">
      <Terms xmlns="http://schemas.microsoft.com/office/infopath/2007/PartnerControls"/>
    </lcf76f155ced4ddcb4097134ff3c332f>
    <TaxCatchAll xmlns="294b63eb-b615-41f1-964e-0066b47d73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4668E-A680-44AF-9575-02BE98269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92b2f-ef6a-4723-845d-52726c08e321"/>
    <ds:schemaRef ds:uri="294b63eb-b615-41f1-964e-0066b47d7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EDC1B-36A5-43B8-8942-4E12C7578390}">
  <ds:schemaRefs>
    <ds:schemaRef ds:uri="http://schemas.microsoft.com/office/2006/metadata/properties"/>
    <ds:schemaRef ds:uri="http://schemas.microsoft.com/office/infopath/2007/PartnerControls"/>
    <ds:schemaRef ds:uri="86792b2f-ef6a-4723-845d-52726c08e321"/>
    <ds:schemaRef ds:uri="294b63eb-b615-41f1-964e-0066b47d7340"/>
  </ds:schemaRefs>
</ds:datastoreItem>
</file>

<file path=customXml/itemProps3.xml><?xml version="1.0" encoding="utf-8"?>
<ds:datastoreItem xmlns:ds="http://schemas.openxmlformats.org/officeDocument/2006/customXml" ds:itemID="{5FE4CEEA-7D58-4712-8460-FFC6D3ACC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865</Words>
  <Characters>4585</Characters>
  <Application>Microsoft Office Word</Application>
  <DocSecurity>4</DocSecurity>
  <Lines>38</Lines>
  <Paragraphs>10</Paragraphs>
  <ScaleCrop>false</ScaleCrop>
  <Company>Statsforvalterens fellestjenester</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Kristiansen, Victoria Marie</dc:creator>
  <cp:keywords/>
  <dc:description/>
  <cp:lastModifiedBy>Klæbo, Harald</cp:lastModifiedBy>
  <cp:revision>2</cp:revision>
  <dcterms:created xsi:type="dcterms:W3CDTF">2026-07-04T10:52:00Z</dcterms:created>
  <dcterms:modified xsi:type="dcterms:W3CDTF">2026-07-04T10:52:00Z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0x0101002534AD2CD957344A8ED9B18206FFCD5D</vt:lpwstr>
  </property>
  <property fmtid="{D5CDD505-2E9C-101B-9397-08002B2CF9AE}" pid="3" name="MediaServiceImageTags">
    <vt:lpwstr/>
  </property>
</Properties>
</file>