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2FEF" w14:textId="77777777" w:rsidR="00F774B0" w:rsidRPr="00DC26F0" w:rsidRDefault="00F774B0" w:rsidP="00F774B0">
      <w:pPr>
        <w:pStyle w:val="Overskrift1"/>
        <w:rPr>
          <w:rFonts w:ascii="Times New Roman" w:eastAsia="Times New Roman" w:hAnsi="Times New Roman" w:cs="Times New Roman"/>
          <w:lang w:eastAsia="nb-NO"/>
        </w:rPr>
      </w:pPr>
      <w:r w:rsidRPr="00DC26F0">
        <w:rPr>
          <w:rFonts w:ascii="Times New Roman" w:eastAsia="Times New Roman" w:hAnsi="Times New Roman" w:cs="Times New Roman"/>
          <w:lang w:eastAsia="nb-NO"/>
        </w:rPr>
        <w:t xml:space="preserve">Rutiner for søknad om fritak for taushetsplikt etter tvisteloven 22-3 og straffeprosessloven §§ 118 og 230 - vitneførsel og fremleggelse av taushetsbelagte dokumenter for domstolene </w:t>
      </w:r>
      <w:r w:rsidRPr="00DC26F0">
        <w:rPr>
          <w:rFonts w:ascii="Times New Roman" w:eastAsia="Times New Roman" w:hAnsi="Times New Roman" w:cs="Times New Roman"/>
          <w:lang w:eastAsia="nb-NO"/>
        </w:rPr>
        <w:br/>
      </w:r>
    </w:p>
    <w:p w14:paraId="6FD5B844" w14:textId="2889BFE7" w:rsidR="00F774B0" w:rsidRPr="00893156" w:rsidRDefault="00F774B0" w:rsidP="00F774B0">
      <w:pPr>
        <w:spacing w:after="0"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 xml:space="preserve">Ansatte i barnehager, skoler, barnevern, sosialtjeneste og offentlig ansatt helsepersonell kan på grunn av taushetsplikten ikke forklare seg som vitner for domstol eller politi om forhold de har fått kjennskap til i sitt arbeid. Den person som har krav på taushet kan frita dem fra taushetsplikten. Dersom vedkommende ikke samtykker kan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frita fra taushetsplikten etter søknad. Taushetsplikten er regulert i barnehageloven § 20, opplæringsloven § 15-1, barnevernloven § 6-7, sosialtjenesteloven § 8-8 og helsepersonelloven § 21. Alle disse bestemmelsene henviser til taushetspliktreglene i forvaltningsloven §§ 13 til 13 e.</w:t>
      </w:r>
      <w:r w:rsidRPr="00893156">
        <w:rPr>
          <w:rFonts w:ascii="Times New Roman" w:eastAsia="Times New Roman" w:hAnsi="Times New Roman" w:cs="Times New Roman"/>
          <w:sz w:val="24"/>
          <w:szCs w:val="24"/>
          <w:lang w:eastAsia="nb-NO"/>
        </w:rPr>
        <w:br/>
      </w:r>
      <w:r w:rsidRPr="00DC26F0">
        <w:rPr>
          <w:rFonts w:ascii="Times New Roman" w:eastAsia="Times New Roman" w:hAnsi="Times New Roman" w:cs="Times New Roman"/>
          <w:sz w:val="24"/>
          <w:szCs w:val="24"/>
          <w:lang w:eastAsia="nb-NO"/>
        </w:rPr>
        <w:br/>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s beslutning regnes ikke som vedtak i henhold til forvaltningsloven og er ikke gjenstand for klage.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kan nekte å samtykke til fritak for taushetsplikt når åpenbaringen vil kunne utsette staten eller allmenne interesser for skade eller virke urimelig overfor den som har krav på hemmelighold.</w:t>
      </w:r>
      <w:r w:rsidRPr="00893156">
        <w:rPr>
          <w:rFonts w:ascii="Times New Roman" w:eastAsia="Times New Roman" w:hAnsi="Times New Roman" w:cs="Times New Roman"/>
          <w:sz w:val="24"/>
          <w:szCs w:val="24"/>
          <w:lang w:eastAsia="nb-NO"/>
        </w:rPr>
        <w:br/>
      </w:r>
      <w:r w:rsidRPr="00DC26F0">
        <w:rPr>
          <w:rFonts w:ascii="Times New Roman" w:eastAsia="Times New Roman" w:hAnsi="Times New Roman" w:cs="Times New Roman"/>
          <w:sz w:val="24"/>
          <w:szCs w:val="24"/>
          <w:lang w:eastAsia="nb-NO"/>
        </w:rPr>
        <w:br/>
      </w:r>
      <w:r w:rsidRPr="00893156">
        <w:rPr>
          <w:rFonts w:ascii="Times New Roman" w:eastAsia="Times New Roman" w:hAnsi="Times New Roman" w:cs="Times New Roman"/>
          <w:sz w:val="24"/>
          <w:szCs w:val="24"/>
          <w:lang w:eastAsia="nb-NO"/>
        </w:rPr>
        <w:t xml:space="preserve">Dersom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nekter å frita vitner, kan retten ved kjennelse bestemme at vitnet skal forklare seg. Når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eller retten har fritatt vitnet for taushetsplikt, har vitnet plikt til å forklare seg i retten. Forklaringen skal skje for lukkede dører</w:t>
      </w:r>
      <w:r w:rsidRPr="00893156">
        <w:rPr>
          <w:rFonts w:ascii="Times New Roman" w:eastAsia="Times New Roman" w:hAnsi="Times New Roman" w:cs="Times New Roman"/>
          <w:sz w:val="24"/>
          <w:szCs w:val="24"/>
          <w:lang w:eastAsia="nb-NO"/>
        </w:rPr>
        <w:br/>
      </w:r>
      <w:r w:rsidRPr="00DC26F0">
        <w:rPr>
          <w:rFonts w:ascii="Times New Roman" w:eastAsia="Times New Roman" w:hAnsi="Times New Roman" w:cs="Times New Roman"/>
          <w:b/>
          <w:bCs/>
          <w:sz w:val="24"/>
          <w:szCs w:val="24"/>
          <w:lang w:eastAsia="nb-NO"/>
        </w:rPr>
        <w:br/>
        <w:t>Samtykke etter forvaltningsloven § 13 a nr. 1</w:t>
      </w:r>
    </w:p>
    <w:p w14:paraId="750AFDBD" w14:textId="1CE39736" w:rsidR="00F774B0" w:rsidRPr="00893156" w:rsidRDefault="00F774B0" w:rsidP="00F774B0">
      <w:pPr>
        <w:spacing w:after="0"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 xml:space="preserve">Hovedregelen er at den person som har krav på taushet kan frita fra taushetsplikten. Når det foreligger informativt samtykke fra person som har krav på taushet, er det ikke nødvendig at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gir fritak i saken. Advokat eller politi må før saken tas opp med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alltid forespørre om den person som har krav på taushet fritar fra taushetsplikten etter </w:t>
      </w:r>
      <w:proofErr w:type="spellStart"/>
      <w:r w:rsidRPr="00893156">
        <w:rPr>
          <w:rFonts w:ascii="Times New Roman" w:eastAsia="Times New Roman" w:hAnsi="Times New Roman" w:cs="Times New Roman"/>
          <w:sz w:val="24"/>
          <w:szCs w:val="24"/>
          <w:lang w:eastAsia="nb-NO"/>
        </w:rPr>
        <w:t>fvl</w:t>
      </w:r>
      <w:proofErr w:type="spellEnd"/>
      <w:r w:rsidRPr="00893156">
        <w:rPr>
          <w:rFonts w:ascii="Times New Roman" w:eastAsia="Times New Roman" w:hAnsi="Times New Roman" w:cs="Times New Roman"/>
          <w:sz w:val="24"/>
          <w:szCs w:val="24"/>
          <w:lang w:eastAsia="nb-NO"/>
        </w:rPr>
        <w:t xml:space="preserve">. § 13 a nr. 1. For barn må dette avklares med den som har foreldreansvar eller er oppnevnt som verge. Advokat/politi tar direkte kontakt med vitnet når samtykke er gitt uten å gå veien om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w:t>
      </w:r>
      <w:r w:rsidRPr="00893156">
        <w:rPr>
          <w:rFonts w:ascii="Times New Roman" w:eastAsia="Times New Roman" w:hAnsi="Times New Roman" w:cs="Times New Roman"/>
          <w:sz w:val="24"/>
          <w:szCs w:val="24"/>
          <w:lang w:eastAsia="nb-NO"/>
        </w:rPr>
        <w:br/>
      </w:r>
      <w:r w:rsidRPr="00DC26F0">
        <w:rPr>
          <w:rFonts w:ascii="Times New Roman" w:eastAsia="Times New Roman" w:hAnsi="Times New Roman" w:cs="Times New Roman"/>
          <w:b/>
          <w:bCs/>
          <w:sz w:val="24"/>
          <w:szCs w:val="24"/>
          <w:lang w:eastAsia="nb-NO"/>
        </w:rPr>
        <w:br/>
        <w:t xml:space="preserve">Søknad til </w:t>
      </w:r>
      <w:r w:rsidR="00B33487">
        <w:rPr>
          <w:rFonts w:ascii="Times New Roman" w:eastAsia="Times New Roman" w:hAnsi="Times New Roman" w:cs="Times New Roman"/>
          <w:b/>
          <w:bCs/>
          <w:sz w:val="24"/>
          <w:szCs w:val="24"/>
          <w:lang w:eastAsia="nb-NO"/>
        </w:rPr>
        <w:t>Statsforvalteren</w:t>
      </w:r>
      <w:r w:rsidRPr="00DC26F0">
        <w:rPr>
          <w:rFonts w:ascii="Times New Roman" w:eastAsia="Times New Roman" w:hAnsi="Times New Roman" w:cs="Times New Roman"/>
          <w:b/>
          <w:bCs/>
          <w:sz w:val="24"/>
          <w:szCs w:val="24"/>
          <w:lang w:eastAsia="nb-NO"/>
        </w:rPr>
        <w:t xml:space="preserve"> – innhold/vedlegg </w:t>
      </w:r>
      <w:r w:rsidRPr="00893156">
        <w:rPr>
          <w:rFonts w:ascii="Times New Roman" w:eastAsia="Times New Roman" w:hAnsi="Times New Roman" w:cs="Times New Roman"/>
          <w:sz w:val="24"/>
          <w:szCs w:val="24"/>
          <w:lang w:eastAsia="nb-NO"/>
        </w:rPr>
        <w:t>Ved rettslige avhør er det i prinsippet retten som skal anmode om å løse vitnet fra taushetsplikten. I praksis godtas at partenes prosessfullmektiger eller aktor søker om fritakelse som en konsekvens av at disse også sørger for innkalling av vitnene. Ved forklaring til politiet er det politiet som søker om fritak for taushetsplikt.</w:t>
      </w:r>
    </w:p>
    <w:p w14:paraId="41B5315F" w14:textId="77777777" w:rsidR="00F774B0" w:rsidRPr="00893156"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Innhold:</w:t>
      </w:r>
    </w:p>
    <w:p w14:paraId="5F33F123" w14:textId="77777777" w:rsidR="00F774B0" w:rsidRPr="00DC26F0" w:rsidRDefault="00F774B0" w:rsidP="00F77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Det skal opplyses om person(er) som har krav på taushet er forespurt om å samtykke eller hvorfor samtykke ikke er forsøkt innhentet.</w:t>
      </w:r>
    </w:p>
    <w:p w14:paraId="66B6AD92" w14:textId="77777777" w:rsidR="00F774B0" w:rsidRPr="00DC26F0" w:rsidRDefault="00F774B0" w:rsidP="00F77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Navn, arbeidssted for vitnet og kort redegjørelse for hva vitnet skal forklare seg om.</w:t>
      </w:r>
    </w:p>
    <w:p w14:paraId="092D9C6C" w14:textId="77777777" w:rsidR="00F774B0" w:rsidRPr="00893156" w:rsidRDefault="00F774B0" w:rsidP="00F774B0">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Hvilken domstol som behandler saken, saksnummer og dato for berammelse i retten.</w:t>
      </w:r>
    </w:p>
    <w:p w14:paraId="35D6A1AB" w14:textId="77777777" w:rsidR="00F774B0" w:rsidRPr="00893156"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Vedlegg:</w:t>
      </w:r>
    </w:p>
    <w:p w14:paraId="0604ED13" w14:textId="77777777" w:rsidR="00F774B0" w:rsidRPr="00893156" w:rsidRDefault="00F774B0" w:rsidP="00F77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Stevning og tilsvar eller tiltalebeslutning.</w:t>
      </w:r>
    </w:p>
    <w:p w14:paraId="06079E1D" w14:textId="77777777" w:rsidR="00F774B0" w:rsidRPr="00893156" w:rsidRDefault="00F774B0" w:rsidP="00F774B0">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893156">
        <w:rPr>
          <w:rFonts w:ascii="Times New Roman" w:eastAsia="Times New Roman" w:hAnsi="Times New Roman" w:cs="Times New Roman"/>
          <w:sz w:val="24"/>
          <w:szCs w:val="24"/>
          <w:lang w:eastAsia="nb-NO"/>
        </w:rPr>
        <w:t xml:space="preserve">Uttalelse fra person som skal fritas fra taushetsplikt og </w:t>
      </w:r>
      <w:proofErr w:type="spellStart"/>
      <w:r w:rsidRPr="00893156">
        <w:rPr>
          <w:rFonts w:ascii="Times New Roman" w:eastAsia="Times New Roman" w:hAnsi="Times New Roman" w:cs="Times New Roman"/>
          <w:sz w:val="24"/>
          <w:szCs w:val="24"/>
          <w:lang w:eastAsia="nb-NO"/>
        </w:rPr>
        <w:t>vedkommendes</w:t>
      </w:r>
      <w:proofErr w:type="spellEnd"/>
      <w:r w:rsidRPr="00893156">
        <w:rPr>
          <w:rFonts w:ascii="Times New Roman" w:eastAsia="Times New Roman" w:hAnsi="Times New Roman" w:cs="Times New Roman"/>
          <w:sz w:val="24"/>
          <w:szCs w:val="24"/>
          <w:lang w:eastAsia="nb-NO"/>
        </w:rPr>
        <w:t xml:space="preserve"> leder, om de har innvendinger mot å forklare seg i retten og fritas fra taushetsplikt.</w:t>
      </w:r>
    </w:p>
    <w:p w14:paraId="6D497874" w14:textId="77777777" w:rsidR="00F774B0" w:rsidRPr="00DC26F0" w:rsidRDefault="00F774B0" w:rsidP="00F774B0">
      <w:pPr>
        <w:spacing w:before="100" w:beforeAutospacing="1" w:after="100" w:afterAutospacing="1" w:line="240" w:lineRule="auto"/>
        <w:rPr>
          <w:rFonts w:ascii="Times New Roman" w:eastAsia="Times New Roman" w:hAnsi="Times New Roman" w:cs="Times New Roman"/>
          <w:b/>
          <w:bCs/>
          <w:sz w:val="24"/>
          <w:szCs w:val="24"/>
          <w:lang w:eastAsia="nb-NO"/>
        </w:rPr>
      </w:pPr>
    </w:p>
    <w:p w14:paraId="369EE3A4" w14:textId="23605033" w:rsidR="00F774B0" w:rsidRPr="00DC26F0" w:rsidRDefault="00F774B0" w:rsidP="00F774B0">
      <w:pPr>
        <w:spacing w:before="100" w:beforeAutospacing="1" w:after="100" w:afterAutospacing="1" w:line="240" w:lineRule="auto"/>
        <w:rPr>
          <w:rFonts w:ascii="Times New Roman" w:eastAsia="Times New Roman" w:hAnsi="Times New Roman" w:cs="Times New Roman"/>
          <w:b/>
          <w:bCs/>
          <w:sz w:val="24"/>
          <w:szCs w:val="24"/>
          <w:lang w:eastAsia="nb-NO"/>
        </w:rPr>
      </w:pPr>
      <w:r w:rsidRPr="00DC26F0">
        <w:rPr>
          <w:rFonts w:ascii="Times New Roman" w:eastAsia="Times New Roman" w:hAnsi="Times New Roman" w:cs="Times New Roman"/>
          <w:b/>
          <w:bCs/>
          <w:sz w:val="24"/>
          <w:szCs w:val="24"/>
          <w:lang w:eastAsia="nb-NO"/>
        </w:rPr>
        <w:lastRenderedPageBreak/>
        <w:t xml:space="preserve">Fritak for dokumenter – tvisteloven § 22-3 </w:t>
      </w:r>
      <w:r w:rsidRPr="00893156">
        <w:rPr>
          <w:rFonts w:ascii="Times New Roman" w:eastAsia="Times New Roman" w:hAnsi="Times New Roman" w:cs="Times New Roman"/>
          <w:sz w:val="24"/>
          <w:szCs w:val="24"/>
          <w:lang w:eastAsia="nb-NO"/>
        </w:rPr>
        <w:t xml:space="preserve">Etter forvaltningsloven § 13 a nr. 1 kan person som har krav på taushet frita barneverndokumenter for fremleggelse i retten. Dersom fritak ikke gis etter forvaltningsloven, må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frita dokumentene. Søknad sendes barneverntjenesten med kopi av stevning og tilsvar. Barneverntjenesten videresender søknaden med kopi av dokumentene til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Barneverntjenesten legger ved søknaden en uttalelse om de har innvendinger mot at dokumentene fremlegges i retten. I de saker der advokat har mottatt dokumentene som ønskes fritatt, sendes saken direkte til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vedlagt uttalelse fra barnevernet. I tillegg innsendes informasjon og vedlegg som er nevnt ovenfor.</w:t>
      </w:r>
      <w:r w:rsidRPr="00893156">
        <w:rPr>
          <w:rFonts w:ascii="Times New Roman" w:eastAsia="Times New Roman" w:hAnsi="Times New Roman" w:cs="Times New Roman"/>
          <w:sz w:val="24"/>
          <w:szCs w:val="24"/>
          <w:lang w:eastAsia="nb-NO"/>
        </w:rPr>
        <w:br/>
      </w:r>
    </w:p>
    <w:p w14:paraId="088FDAD4" w14:textId="2AE5BDE8" w:rsidR="00F774B0" w:rsidRPr="00DC26F0"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r w:rsidRPr="00DC26F0">
        <w:rPr>
          <w:rFonts w:ascii="Times New Roman" w:eastAsia="Times New Roman" w:hAnsi="Times New Roman" w:cs="Times New Roman"/>
          <w:b/>
          <w:bCs/>
          <w:sz w:val="24"/>
          <w:szCs w:val="24"/>
          <w:lang w:eastAsia="nb-NO"/>
        </w:rPr>
        <w:t>Tidspunkt for søknad.</w:t>
      </w:r>
      <w:r w:rsidRPr="00893156">
        <w:rPr>
          <w:rFonts w:ascii="Times New Roman" w:eastAsia="Times New Roman" w:hAnsi="Times New Roman" w:cs="Times New Roman"/>
          <w:sz w:val="24"/>
          <w:szCs w:val="24"/>
          <w:lang w:eastAsia="nb-NO"/>
        </w:rPr>
        <w:t xml:space="preserve"> Søknad må sendes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 xml:space="preserve"> 3 uker før saken skal behandles i retten. Søknad som mottas mindre enn en uke før rettssaken, kan ikke påregnes ferdigbehandlet i tide. Det må i ankesaker innsendes ny søknad om fritak for taushetsplikt.</w:t>
      </w:r>
      <w:r w:rsidRPr="00893156">
        <w:rPr>
          <w:rFonts w:ascii="Times New Roman" w:eastAsia="Times New Roman" w:hAnsi="Times New Roman" w:cs="Times New Roman"/>
          <w:sz w:val="24"/>
          <w:szCs w:val="24"/>
          <w:lang w:eastAsia="nb-NO"/>
        </w:rPr>
        <w:br/>
        <w:t xml:space="preserve">Søknader og spørsmål om fritak for taushetsplikt for offentlig ansatt helsepersonell behandles av </w:t>
      </w:r>
      <w:r w:rsidR="00B33487">
        <w:rPr>
          <w:rFonts w:ascii="Times New Roman" w:eastAsia="Times New Roman" w:hAnsi="Times New Roman" w:cs="Times New Roman"/>
          <w:sz w:val="24"/>
          <w:szCs w:val="24"/>
          <w:lang w:eastAsia="nb-NO"/>
        </w:rPr>
        <w:t>Statsforvalteren</w:t>
      </w:r>
      <w:r w:rsidRPr="00893156">
        <w:rPr>
          <w:rFonts w:ascii="Times New Roman" w:eastAsia="Times New Roman" w:hAnsi="Times New Roman" w:cs="Times New Roman"/>
          <w:sz w:val="24"/>
          <w:szCs w:val="24"/>
          <w:lang w:eastAsia="nb-NO"/>
        </w:rPr>
        <w:t>s helseavdeling.</w:t>
      </w:r>
    </w:p>
    <w:p w14:paraId="11CABF1A" w14:textId="77777777" w:rsidR="001412DC" w:rsidRPr="00DC26F0" w:rsidRDefault="00B33487" w:rsidP="001412DC">
      <w:pPr>
        <w:jc w:val="center"/>
        <w:rPr>
          <w:sz w:val="24"/>
          <w:szCs w:val="24"/>
        </w:rPr>
      </w:pPr>
      <w:r>
        <w:rPr>
          <w:sz w:val="24"/>
          <w:szCs w:val="24"/>
        </w:rPr>
        <w:pict w14:anchorId="301814D1">
          <v:rect id="_x0000_i1025" style="width:453.6pt;height:1.5pt" o:hralign="center" o:hrstd="t" o:hr="t" fillcolor="#a0a0a0" stroked="f"/>
        </w:pict>
      </w:r>
    </w:p>
    <w:p w14:paraId="2A11F1E2" w14:textId="0D85896C" w:rsidR="001412DC" w:rsidRPr="001412DC" w:rsidRDefault="001412DC" w:rsidP="001412DC">
      <w:pPr>
        <w:spacing w:before="100" w:beforeAutospacing="1" w:after="100" w:afterAutospacing="1" w:line="240" w:lineRule="auto"/>
        <w:rPr>
          <w:rFonts w:ascii="Times New Roman" w:eastAsia="Times New Roman" w:hAnsi="Times New Roman" w:cs="Times New Roman"/>
          <w:sz w:val="24"/>
          <w:szCs w:val="24"/>
          <w:lang w:eastAsia="nb-NO"/>
        </w:rPr>
      </w:pPr>
      <w:r w:rsidRPr="001412DC">
        <w:rPr>
          <w:rFonts w:ascii="Times New Roman" w:eastAsia="Times New Roman" w:hAnsi="Times New Roman" w:cs="Times New Roman"/>
          <w:sz w:val="24"/>
          <w:szCs w:val="24"/>
          <w:lang w:eastAsia="nb-NO"/>
        </w:rPr>
        <w:t xml:space="preserve">Dersom </w:t>
      </w:r>
      <w:r w:rsidR="00B33487">
        <w:rPr>
          <w:rFonts w:ascii="Times New Roman" w:eastAsia="Times New Roman" w:hAnsi="Times New Roman" w:cs="Times New Roman"/>
          <w:sz w:val="24"/>
          <w:szCs w:val="24"/>
          <w:lang w:eastAsia="nb-NO"/>
        </w:rPr>
        <w:t>Statsforvalteren</w:t>
      </w:r>
      <w:r w:rsidRPr="001412DC">
        <w:rPr>
          <w:rFonts w:ascii="Times New Roman" w:eastAsia="Times New Roman" w:hAnsi="Times New Roman" w:cs="Times New Roman"/>
          <w:sz w:val="24"/>
          <w:szCs w:val="24"/>
          <w:lang w:eastAsia="nb-NO"/>
        </w:rPr>
        <w:t xml:space="preserve"> ikke gir fritak, kan ret</w:t>
      </w:r>
      <w:r w:rsidRPr="00DC26F0">
        <w:rPr>
          <w:rFonts w:ascii="Times New Roman" w:eastAsia="Times New Roman" w:hAnsi="Times New Roman" w:cs="Times New Roman"/>
          <w:sz w:val="24"/>
          <w:szCs w:val="24"/>
          <w:lang w:eastAsia="nb-NO"/>
        </w:rPr>
        <w:t>ten ved kjennelse beslutte at vitnet</w:t>
      </w:r>
      <w:r w:rsidRPr="001412DC">
        <w:rPr>
          <w:rFonts w:ascii="Times New Roman" w:eastAsia="Times New Roman" w:hAnsi="Times New Roman" w:cs="Times New Roman"/>
          <w:sz w:val="24"/>
          <w:szCs w:val="24"/>
          <w:lang w:eastAsia="nb-NO"/>
        </w:rPr>
        <w:t xml:space="preserve"> likevel skal vitne</w:t>
      </w:r>
      <w:r w:rsidRPr="00DC26F0">
        <w:rPr>
          <w:rFonts w:ascii="Times New Roman" w:eastAsia="Times New Roman" w:hAnsi="Times New Roman" w:cs="Times New Roman"/>
          <w:sz w:val="24"/>
          <w:szCs w:val="24"/>
          <w:lang w:eastAsia="nb-NO"/>
        </w:rPr>
        <w:t>. Retten kan også beslutte at vitnet ikke skal forklare seg</w:t>
      </w:r>
      <w:r w:rsidRPr="001412DC">
        <w:rPr>
          <w:rFonts w:ascii="Times New Roman" w:eastAsia="Times New Roman" w:hAnsi="Times New Roman" w:cs="Times New Roman"/>
          <w:sz w:val="24"/>
          <w:szCs w:val="24"/>
          <w:lang w:eastAsia="nb-NO"/>
        </w:rPr>
        <w:t>, selv om </w:t>
      </w:r>
      <w:r w:rsidR="00B33487">
        <w:rPr>
          <w:rFonts w:ascii="Times New Roman" w:eastAsia="Times New Roman" w:hAnsi="Times New Roman" w:cs="Times New Roman"/>
          <w:sz w:val="24"/>
          <w:szCs w:val="24"/>
          <w:lang w:eastAsia="nb-NO"/>
        </w:rPr>
        <w:t>Statsforvalteren</w:t>
      </w:r>
      <w:r w:rsidRPr="001412DC">
        <w:rPr>
          <w:rFonts w:ascii="Times New Roman" w:eastAsia="Times New Roman" w:hAnsi="Times New Roman" w:cs="Times New Roman"/>
          <w:sz w:val="24"/>
          <w:szCs w:val="24"/>
          <w:lang w:eastAsia="nb-NO"/>
        </w:rPr>
        <w:t xml:space="preserve"> har gitt fritak fra taushetsplikten.</w:t>
      </w:r>
    </w:p>
    <w:p w14:paraId="0D792FBD" w14:textId="2877CB11" w:rsidR="00DC26F0" w:rsidRDefault="001412DC" w:rsidP="001412DC">
      <w:pPr>
        <w:spacing w:before="100" w:beforeAutospacing="1" w:after="100" w:afterAutospacing="1" w:line="240" w:lineRule="auto"/>
        <w:rPr>
          <w:rFonts w:ascii="Times New Roman" w:eastAsia="Times New Roman" w:hAnsi="Times New Roman" w:cs="Times New Roman"/>
          <w:sz w:val="24"/>
          <w:szCs w:val="24"/>
          <w:lang w:eastAsia="nb-NO"/>
        </w:rPr>
      </w:pPr>
      <w:r w:rsidRPr="001412DC">
        <w:rPr>
          <w:rFonts w:ascii="Times New Roman" w:eastAsia="Times New Roman" w:hAnsi="Times New Roman" w:cs="Times New Roman"/>
          <w:sz w:val="24"/>
          <w:szCs w:val="24"/>
          <w:lang w:eastAsia="nb-NO"/>
        </w:rPr>
        <w:t xml:space="preserve">Det er ikke nødvendig med fritak fra </w:t>
      </w:r>
      <w:r w:rsidR="00B33487">
        <w:rPr>
          <w:rFonts w:ascii="Times New Roman" w:eastAsia="Times New Roman" w:hAnsi="Times New Roman" w:cs="Times New Roman"/>
          <w:sz w:val="24"/>
          <w:szCs w:val="24"/>
          <w:lang w:eastAsia="nb-NO"/>
        </w:rPr>
        <w:t>Statsforvalteren</w:t>
      </w:r>
      <w:r w:rsidRPr="001412DC">
        <w:rPr>
          <w:rFonts w:ascii="Times New Roman" w:eastAsia="Times New Roman" w:hAnsi="Times New Roman" w:cs="Times New Roman"/>
          <w:sz w:val="24"/>
          <w:szCs w:val="24"/>
          <w:lang w:eastAsia="nb-NO"/>
        </w:rPr>
        <w:t xml:space="preserve"> dersom </w:t>
      </w:r>
      <w:r w:rsidR="00DC26F0">
        <w:rPr>
          <w:rFonts w:ascii="Times New Roman" w:eastAsia="Times New Roman" w:hAnsi="Times New Roman" w:cs="Times New Roman"/>
          <w:sz w:val="24"/>
          <w:szCs w:val="24"/>
          <w:lang w:eastAsia="nb-NO"/>
        </w:rPr>
        <w:t>personer</w:t>
      </w:r>
      <w:r w:rsidRPr="001412DC">
        <w:rPr>
          <w:rFonts w:ascii="Times New Roman" w:eastAsia="Times New Roman" w:hAnsi="Times New Roman" w:cs="Times New Roman"/>
          <w:sz w:val="24"/>
          <w:szCs w:val="24"/>
          <w:lang w:eastAsia="nb-NO"/>
        </w:rPr>
        <w:t xml:space="preserve"> som har krav på taushet, godkjenner at opplysningene kan frigis.</w:t>
      </w:r>
    </w:p>
    <w:p w14:paraId="7D2927D2" w14:textId="77777777" w:rsidR="001412DC" w:rsidRPr="001412DC" w:rsidRDefault="001412DC" w:rsidP="001412DC">
      <w:pPr>
        <w:spacing w:before="100" w:beforeAutospacing="1" w:after="100" w:afterAutospacing="1" w:line="240" w:lineRule="auto"/>
        <w:rPr>
          <w:rFonts w:ascii="Times New Roman" w:eastAsia="Times New Roman" w:hAnsi="Times New Roman" w:cs="Times New Roman"/>
          <w:sz w:val="24"/>
          <w:szCs w:val="24"/>
          <w:lang w:eastAsia="nb-NO"/>
        </w:rPr>
      </w:pPr>
      <w:r w:rsidRPr="001412DC">
        <w:rPr>
          <w:rFonts w:ascii="Times New Roman" w:eastAsia="Times New Roman" w:hAnsi="Times New Roman" w:cs="Times New Roman"/>
          <w:sz w:val="24"/>
          <w:szCs w:val="24"/>
          <w:lang w:eastAsia="nb-NO"/>
        </w:rPr>
        <w:t xml:space="preserve"> Det er heller ikke nødvendig med fritak når fylkesnemnda eller domstolen b</w:t>
      </w:r>
      <w:r w:rsidRPr="00DC26F0">
        <w:rPr>
          <w:rFonts w:ascii="Times New Roman" w:eastAsia="Times New Roman" w:hAnsi="Times New Roman" w:cs="Times New Roman"/>
          <w:sz w:val="24"/>
          <w:szCs w:val="24"/>
          <w:lang w:eastAsia="nb-NO"/>
        </w:rPr>
        <w:t>ehandler saker etter barneloven (barneloven §61 a – Barnevernstjenesten kan uhindret av taushetsplikten etter barnevernloven §6-7 gi opplysninger til domstolen i sak om foreldreansvar, hvor barnet skal bo fast og samvær</w:t>
      </w:r>
      <w:r w:rsidR="00DC26F0" w:rsidRPr="00DC26F0">
        <w:rPr>
          <w:rFonts w:ascii="Times New Roman" w:eastAsia="Times New Roman" w:hAnsi="Times New Roman" w:cs="Times New Roman"/>
          <w:sz w:val="24"/>
          <w:szCs w:val="24"/>
          <w:lang w:eastAsia="nb-NO"/>
        </w:rPr>
        <w:t xml:space="preserve">) </w:t>
      </w:r>
      <w:r w:rsidRPr="00DC26F0">
        <w:rPr>
          <w:rFonts w:ascii="Times New Roman" w:eastAsia="Times New Roman" w:hAnsi="Times New Roman" w:cs="Times New Roman"/>
          <w:sz w:val="24"/>
          <w:szCs w:val="24"/>
          <w:lang w:eastAsia="nb-NO"/>
        </w:rPr>
        <w:t xml:space="preserve"> </w:t>
      </w:r>
    </w:p>
    <w:p w14:paraId="2EE98C0A" w14:textId="77777777" w:rsidR="001412DC" w:rsidRPr="00DC26F0" w:rsidRDefault="00B33487" w:rsidP="00F774B0">
      <w:pPr>
        <w:spacing w:before="100" w:beforeAutospacing="1" w:after="100" w:afterAutospacing="1" w:line="240" w:lineRule="auto"/>
        <w:rPr>
          <w:rFonts w:ascii="Times New Roman" w:eastAsia="Times New Roman" w:hAnsi="Times New Roman" w:cs="Times New Roman"/>
          <w:b/>
          <w:bCs/>
          <w:sz w:val="24"/>
          <w:szCs w:val="24"/>
          <w:lang w:eastAsia="nb-NO"/>
        </w:rPr>
      </w:pPr>
      <w:r>
        <w:rPr>
          <w:sz w:val="24"/>
          <w:szCs w:val="24"/>
        </w:rPr>
        <w:pict w14:anchorId="26E36C2C">
          <v:rect id="_x0000_i1026" style="width:453.6pt;height:1.5pt" o:hralign="center" o:hrstd="t" o:hr="t" fillcolor="#a0a0a0" stroked="f"/>
        </w:pict>
      </w:r>
    </w:p>
    <w:p w14:paraId="50AE3313" w14:textId="77777777" w:rsidR="00F774B0"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p>
    <w:p w14:paraId="45EA38C4" w14:textId="77777777" w:rsidR="00F774B0"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p>
    <w:p w14:paraId="4590A160" w14:textId="77777777" w:rsidR="00F774B0"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p>
    <w:p w14:paraId="588BC879" w14:textId="77777777" w:rsidR="00F774B0" w:rsidRPr="00893156" w:rsidRDefault="00F774B0" w:rsidP="00F774B0">
      <w:pPr>
        <w:spacing w:before="100" w:beforeAutospacing="1" w:after="100" w:afterAutospacing="1" w:line="240" w:lineRule="auto"/>
        <w:rPr>
          <w:rFonts w:ascii="Times New Roman" w:eastAsia="Times New Roman" w:hAnsi="Times New Roman" w:cs="Times New Roman"/>
          <w:sz w:val="24"/>
          <w:szCs w:val="24"/>
          <w:lang w:eastAsia="nb-NO"/>
        </w:rPr>
      </w:pPr>
    </w:p>
    <w:p w14:paraId="0596B9AE" w14:textId="77777777" w:rsidR="00F774B0" w:rsidRDefault="00F774B0" w:rsidP="00F774B0"/>
    <w:p w14:paraId="025DF506" w14:textId="77777777" w:rsidR="00F774B0" w:rsidRDefault="00F774B0" w:rsidP="00F774B0"/>
    <w:p w14:paraId="698D8C1E" w14:textId="77777777" w:rsidR="00F774B0" w:rsidRDefault="00F774B0" w:rsidP="00F774B0"/>
    <w:p w14:paraId="764549CB" w14:textId="77777777" w:rsidR="00F774B0" w:rsidRPr="00F774B0" w:rsidRDefault="00F774B0" w:rsidP="00DC26F0"/>
    <w:p w14:paraId="5B2CDAFE" w14:textId="77777777" w:rsidR="001412DC" w:rsidRDefault="001412DC" w:rsidP="00DC26F0"/>
    <w:p w14:paraId="62DA31FD" w14:textId="77777777" w:rsidR="00DC26F0" w:rsidRDefault="00DC26F0" w:rsidP="00DC26F0"/>
    <w:p w14:paraId="67BCB071" w14:textId="77777777" w:rsidR="00DC26F0" w:rsidRDefault="00DC26F0" w:rsidP="00DC26F0"/>
    <w:p w14:paraId="4CC9D0B7" w14:textId="77777777" w:rsidR="00DC26F0" w:rsidRDefault="00DC26F0" w:rsidP="00DC26F0"/>
    <w:p w14:paraId="7558EB5F" w14:textId="77777777" w:rsidR="001412DC" w:rsidRPr="00DC26F0" w:rsidRDefault="001412DC" w:rsidP="00DC26F0">
      <w:pPr>
        <w:pStyle w:val="Overskrift1"/>
        <w:rPr>
          <w:rFonts w:ascii="Times New Roman" w:hAnsi="Times New Roman" w:cs="Times New Roman"/>
          <w:u w:val="single"/>
        </w:rPr>
      </w:pPr>
      <w:r w:rsidRPr="00DC26F0">
        <w:rPr>
          <w:rFonts w:ascii="Times New Roman" w:hAnsi="Times New Roman" w:cs="Times New Roman"/>
          <w:sz w:val="36"/>
          <w:u w:val="single"/>
        </w:rPr>
        <w:lastRenderedPageBreak/>
        <w:t>S</w:t>
      </w:r>
      <w:r w:rsidR="00893156" w:rsidRPr="00DC26F0">
        <w:rPr>
          <w:rFonts w:ascii="Times New Roman" w:hAnsi="Times New Roman" w:cs="Times New Roman"/>
          <w:sz w:val="36"/>
          <w:u w:val="single"/>
        </w:rPr>
        <w:t>øknad om fritak fra taushetsplikt</w:t>
      </w:r>
      <w:r w:rsidR="00DC26F0" w:rsidRPr="00DC26F0">
        <w:rPr>
          <w:rFonts w:ascii="Times New Roman" w:hAnsi="Times New Roman" w:cs="Times New Roman"/>
          <w:u w:val="single"/>
        </w:rPr>
        <w:br/>
      </w:r>
    </w:p>
    <w:tbl>
      <w:tblPr>
        <w:tblStyle w:val="Tabellrutenett"/>
        <w:tblW w:w="0" w:type="auto"/>
        <w:tblLook w:val="04A0" w:firstRow="1" w:lastRow="0" w:firstColumn="1" w:lastColumn="0" w:noHBand="0" w:noVBand="1"/>
      </w:tblPr>
      <w:tblGrid>
        <w:gridCol w:w="2496"/>
        <w:gridCol w:w="6566"/>
      </w:tblGrid>
      <w:tr w:rsidR="00893156" w:rsidRPr="00DC26F0" w14:paraId="24B66420" w14:textId="77777777" w:rsidTr="00893156">
        <w:tc>
          <w:tcPr>
            <w:tcW w:w="2518" w:type="dxa"/>
          </w:tcPr>
          <w:p w14:paraId="6F4A951E" w14:textId="77777777" w:rsidR="00893156" w:rsidRPr="00DC26F0" w:rsidRDefault="00893156" w:rsidP="00893156">
            <w:pPr>
              <w:rPr>
                <w:rFonts w:ascii="Times New Roman" w:hAnsi="Times New Roman" w:cs="Times New Roman"/>
                <w:sz w:val="24"/>
                <w:szCs w:val="24"/>
              </w:rPr>
            </w:pPr>
            <w:r w:rsidRPr="00DC26F0">
              <w:rPr>
                <w:rFonts w:ascii="Times New Roman" w:hAnsi="Times New Roman" w:cs="Times New Roman"/>
                <w:b/>
                <w:sz w:val="24"/>
                <w:szCs w:val="24"/>
              </w:rPr>
              <w:t>Avhør</w:t>
            </w:r>
            <w:r w:rsidRPr="00DC26F0">
              <w:rPr>
                <w:rFonts w:ascii="Times New Roman" w:hAnsi="Times New Roman" w:cs="Times New Roman"/>
                <w:sz w:val="24"/>
                <w:szCs w:val="24"/>
              </w:rPr>
              <w:br/>
              <w:t xml:space="preserve">Politiets </w:t>
            </w:r>
            <w:proofErr w:type="spellStart"/>
            <w:r w:rsidRPr="00DC26F0">
              <w:rPr>
                <w:rFonts w:ascii="Times New Roman" w:hAnsi="Times New Roman" w:cs="Times New Roman"/>
                <w:sz w:val="24"/>
                <w:szCs w:val="24"/>
              </w:rPr>
              <w:t>saksnr</w:t>
            </w:r>
            <w:proofErr w:type="spellEnd"/>
          </w:p>
        </w:tc>
        <w:tc>
          <w:tcPr>
            <w:tcW w:w="6694" w:type="dxa"/>
          </w:tcPr>
          <w:p w14:paraId="1B47989C" w14:textId="77777777" w:rsidR="00893156" w:rsidRPr="00DC26F0" w:rsidRDefault="00893156" w:rsidP="00893156">
            <w:pPr>
              <w:rPr>
                <w:rFonts w:ascii="Times New Roman" w:hAnsi="Times New Roman" w:cs="Times New Roman"/>
                <w:sz w:val="24"/>
                <w:szCs w:val="24"/>
              </w:rPr>
            </w:pPr>
          </w:p>
        </w:tc>
      </w:tr>
      <w:tr w:rsidR="00893156" w:rsidRPr="00DC26F0" w14:paraId="23F0A93B" w14:textId="77777777" w:rsidTr="00893156">
        <w:tc>
          <w:tcPr>
            <w:tcW w:w="2518" w:type="dxa"/>
          </w:tcPr>
          <w:p w14:paraId="042BF619" w14:textId="77777777" w:rsidR="00893156" w:rsidRPr="00DC26F0" w:rsidRDefault="00893156" w:rsidP="00893156">
            <w:pPr>
              <w:rPr>
                <w:rFonts w:ascii="Times New Roman" w:hAnsi="Times New Roman" w:cs="Times New Roman"/>
                <w:sz w:val="24"/>
                <w:szCs w:val="24"/>
              </w:rPr>
            </w:pPr>
            <w:r w:rsidRPr="00DC26F0">
              <w:rPr>
                <w:rFonts w:ascii="Times New Roman" w:hAnsi="Times New Roman" w:cs="Times New Roman"/>
                <w:b/>
                <w:sz w:val="24"/>
                <w:szCs w:val="24"/>
              </w:rPr>
              <w:t>Rettssak</w:t>
            </w:r>
            <w:r w:rsidRPr="00DC26F0">
              <w:rPr>
                <w:rFonts w:ascii="Times New Roman" w:hAnsi="Times New Roman" w:cs="Times New Roman"/>
                <w:sz w:val="24"/>
                <w:szCs w:val="24"/>
              </w:rPr>
              <w:br/>
            </w:r>
            <w:r w:rsidR="001412DC" w:rsidRPr="00DC26F0">
              <w:rPr>
                <w:rFonts w:ascii="Times New Roman" w:hAnsi="Times New Roman" w:cs="Times New Roman"/>
                <w:sz w:val="24"/>
                <w:szCs w:val="24"/>
              </w:rPr>
              <w:t xml:space="preserve">Navn på domstol, </w:t>
            </w:r>
            <w:proofErr w:type="spellStart"/>
            <w:r w:rsidRPr="00DC26F0">
              <w:rPr>
                <w:rFonts w:ascii="Times New Roman" w:hAnsi="Times New Roman" w:cs="Times New Roman"/>
                <w:sz w:val="24"/>
                <w:szCs w:val="24"/>
              </w:rPr>
              <w:t>saksnr</w:t>
            </w:r>
            <w:proofErr w:type="spellEnd"/>
            <w:r w:rsidR="001412DC" w:rsidRPr="00DC26F0">
              <w:rPr>
                <w:rFonts w:ascii="Times New Roman" w:hAnsi="Times New Roman" w:cs="Times New Roman"/>
                <w:sz w:val="24"/>
                <w:szCs w:val="24"/>
              </w:rPr>
              <w:t xml:space="preserve">, </w:t>
            </w:r>
            <w:r w:rsidRPr="00DC26F0">
              <w:rPr>
                <w:rFonts w:ascii="Times New Roman" w:hAnsi="Times New Roman" w:cs="Times New Roman"/>
                <w:sz w:val="24"/>
                <w:szCs w:val="24"/>
              </w:rPr>
              <w:t xml:space="preserve">dato </w:t>
            </w:r>
          </w:p>
        </w:tc>
        <w:tc>
          <w:tcPr>
            <w:tcW w:w="6694" w:type="dxa"/>
          </w:tcPr>
          <w:p w14:paraId="258CC1B9" w14:textId="77777777" w:rsidR="00893156" w:rsidRPr="00DC26F0" w:rsidRDefault="00893156" w:rsidP="00893156">
            <w:pPr>
              <w:rPr>
                <w:rFonts w:ascii="Times New Roman" w:hAnsi="Times New Roman" w:cs="Times New Roman"/>
                <w:sz w:val="24"/>
                <w:szCs w:val="24"/>
              </w:rPr>
            </w:pPr>
          </w:p>
        </w:tc>
      </w:tr>
      <w:tr w:rsidR="001412DC" w:rsidRPr="00DC26F0" w14:paraId="112D8963" w14:textId="77777777" w:rsidTr="00893156">
        <w:tc>
          <w:tcPr>
            <w:tcW w:w="2518" w:type="dxa"/>
          </w:tcPr>
          <w:p w14:paraId="6298F9CC" w14:textId="77777777" w:rsidR="001412DC" w:rsidRPr="00DC26F0" w:rsidRDefault="001412DC" w:rsidP="00893156">
            <w:pPr>
              <w:rPr>
                <w:rFonts w:ascii="Times New Roman" w:hAnsi="Times New Roman" w:cs="Times New Roman"/>
                <w:sz w:val="24"/>
                <w:szCs w:val="24"/>
              </w:rPr>
            </w:pPr>
            <w:r w:rsidRPr="00DC26F0">
              <w:rPr>
                <w:rFonts w:ascii="Times New Roman" w:hAnsi="Times New Roman" w:cs="Times New Roman"/>
                <w:b/>
                <w:sz w:val="24"/>
                <w:szCs w:val="24"/>
              </w:rPr>
              <w:t>Vitne</w:t>
            </w:r>
            <w:r w:rsidRPr="00DC26F0">
              <w:rPr>
                <w:rFonts w:ascii="Times New Roman" w:hAnsi="Times New Roman" w:cs="Times New Roman"/>
                <w:b/>
                <w:sz w:val="24"/>
                <w:szCs w:val="24"/>
              </w:rPr>
              <w:br/>
            </w:r>
            <w:r w:rsidRPr="00DC26F0">
              <w:rPr>
                <w:rFonts w:ascii="Times New Roman" w:hAnsi="Times New Roman" w:cs="Times New Roman"/>
                <w:sz w:val="24"/>
                <w:szCs w:val="24"/>
              </w:rPr>
              <w:t>Navn, arbeidssted, redegjørelse for hva vitnet skal forklare seg om.</w:t>
            </w:r>
          </w:p>
        </w:tc>
        <w:tc>
          <w:tcPr>
            <w:tcW w:w="6694" w:type="dxa"/>
          </w:tcPr>
          <w:p w14:paraId="21B3FE3F" w14:textId="77777777" w:rsidR="001412DC" w:rsidRPr="00DC26F0" w:rsidRDefault="001412DC" w:rsidP="00893156">
            <w:pPr>
              <w:rPr>
                <w:rFonts w:ascii="Times New Roman" w:hAnsi="Times New Roman" w:cs="Times New Roman"/>
                <w:sz w:val="24"/>
                <w:szCs w:val="24"/>
              </w:rPr>
            </w:pPr>
          </w:p>
        </w:tc>
      </w:tr>
    </w:tbl>
    <w:p w14:paraId="1AFC4DEB" w14:textId="77777777" w:rsidR="00893156" w:rsidRPr="00DC26F0" w:rsidRDefault="00893156" w:rsidP="00893156">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9062"/>
      </w:tblGrid>
      <w:tr w:rsidR="00893156" w:rsidRPr="00DC26F0" w14:paraId="0339AB5E" w14:textId="77777777" w:rsidTr="00893156">
        <w:tc>
          <w:tcPr>
            <w:tcW w:w="9212" w:type="dxa"/>
          </w:tcPr>
          <w:p w14:paraId="5C45F7A0" w14:textId="77777777" w:rsidR="00893156" w:rsidRPr="00DC26F0" w:rsidRDefault="00893156" w:rsidP="00893156">
            <w:pPr>
              <w:rPr>
                <w:rFonts w:ascii="Times New Roman" w:hAnsi="Times New Roman" w:cs="Times New Roman"/>
                <w:b/>
                <w:sz w:val="24"/>
                <w:szCs w:val="24"/>
              </w:rPr>
            </w:pPr>
            <w:r w:rsidRPr="00DC26F0">
              <w:rPr>
                <w:rFonts w:ascii="Times New Roman" w:hAnsi="Times New Roman" w:cs="Times New Roman"/>
                <w:b/>
                <w:sz w:val="24"/>
                <w:szCs w:val="24"/>
              </w:rPr>
              <w:t>Uttalelse vedrørende fritak fra taushetsplikt</w:t>
            </w:r>
          </w:p>
        </w:tc>
      </w:tr>
      <w:tr w:rsidR="00893156" w:rsidRPr="00DC26F0" w14:paraId="0BD2C462" w14:textId="77777777" w:rsidTr="00893156">
        <w:tc>
          <w:tcPr>
            <w:tcW w:w="9212" w:type="dxa"/>
          </w:tcPr>
          <w:p w14:paraId="566FDA63" w14:textId="77777777" w:rsidR="00F774B0" w:rsidRPr="00DC26F0" w:rsidRDefault="00F774B0" w:rsidP="00893156">
            <w:pPr>
              <w:rPr>
                <w:rFonts w:ascii="Times New Roman" w:hAnsi="Times New Roman" w:cs="Times New Roman"/>
                <w:b/>
                <w:sz w:val="24"/>
                <w:szCs w:val="24"/>
              </w:rPr>
            </w:pPr>
            <w:r w:rsidRPr="00DC26F0">
              <w:rPr>
                <w:rFonts w:ascii="Times New Roman" w:hAnsi="Times New Roman" w:cs="Times New Roman"/>
                <w:b/>
                <w:sz w:val="24"/>
                <w:szCs w:val="24"/>
              </w:rPr>
              <w:t>For vitnet:</w:t>
            </w:r>
          </w:p>
          <w:p w14:paraId="1C19EC60" w14:textId="77777777" w:rsidR="00893156" w:rsidRPr="00DC26F0" w:rsidRDefault="00F774B0" w:rsidP="00893156">
            <w:pPr>
              <w:rPr>
                <w:rFonts w:ascii="Times New Roman" w:hAnsi="Times New Roman" w:cs="Times New Roman"/>
                <w:sz w:val="24"/>
                <w:szCs w:val="24"/>
              </w:rPr>
            </w:pPr>
            <w:r w:rsidRPr="00DC26F0">
              <w:rPr>
                <w:rFonts w:ascii="Times New Roman" w:hAnsi="Times New Roman" w:cs="Times New Roman"/>
                <w:sz w:val="24"/>
                <w:szCs w:val="24"/>
              </w:rPr>
              <w:t xml:space="preserve">Jeg har / har ingen (stryk det som ikke passer) innvendinger mot å forklare meg for politiet </w:t>
            </w:r>
            <w:r w:rsidR="00DC26F0" w:rsidRPr="00DC26F0">
              <w:rPr>
                <w:rFonts w:ascii="Times New Roman" w:hAnsi="Times New Roman" w:cs="Times New Roman"/>
                <w:sz w:val="24"/>
                <w:szCs w:val="24"/>
              </w:rPr>
              <w:t>og/</w:t>
            </w:r>
            <w:r w:rsidRPr="00DC26F0">
              <w:rPr>
                <w:rFonts w:ascii="Times New Roman" w:hAnsi="Times New Roman" w:cs="Times New Roman"/>
                <w:sz w:val="24"/>
                <w:szCs w:val="24"/>
              </w:rPr>
              <w:t>eller for retten i den aktuelle sak</w:t>
            </w:r>
          </w:p>
          <w:p w14:paraId="298DD247" w14:textId="77777777" w:rsidR="00F774B0" w:rsidRPr="00DC26F0" w:rsidRDefault="00F774B0" w:rsidP="00893156">
            <w:pPr>
              <w:rPr>
                <w:rFonts w:ascii="Times New Roman" w:hAnsi="Times New Roman" w:cs="Times New Roman"/>
                <w:sz w:val="24"/>
                <w:szCs w:val="24"/>
              </w:rPr>
            </w:pPr>
          </w:p>
          <w:p w14:paraId="40C8B87F" w14:textId="77777777" w:rsidR="00F774B0" w:rsidRPr="00DC26F0" w:rsidRDefault="00F774B0" w:rsidP="00893156">
            <w:pPr>
              <w:rPr>
                <w:rFonts w:ascii="Times New Roman" w:hAnsi="Times New Roman" w:cs="Times New Roman"/>
                <w:sz w:val="24"/>
                <w:szCs w:val="24"/>
              </w:rPr>
            </w:pPr>
            <w:r w:rsidRPr="00DC26F0">
              <w:rPr>
                <w:rFonts w:ascii="Times New Roman" w:hAnsi="Times New Roman" w:cs="Times New Roman"/>
                <w:sz w:val="24"/>
                <w:szCs w:val="24"/>
                <w:u w:val="single"/>
              </w:rPr>
              <w:br/>
              <w:t>Dato/underskrift</w:t>
            </w:r>
            <w:r w:rsidRPr="00DC26F0">
              <w:rPr>
                <w:rFonts w:ascii="Times New Roman" w:hAnsi="Times New Roman" w:cs="Times New Roman"/>
                <w:sz w:val="24"/>
                <w:szCs w:val="24"/>
                <w:u w:val="single"/>
              </w:rPr>
              <w:br/>
            </w:r>
            <w:r w:rsidRPr="00DC26F0">
              <w:rPr>
                <w:rFonts w:ascii="Times New Roman" w:hAnsi="Times New Roman" w:cs="Times New Roman"/>
                <w:sz w:val="24"/>
                <w:szCs w:val="24"/>
              </w:rPr>
              <w:t>Navn på vitnet</w:t>
            </w:r>
          </w:p>
          <w:p w14:paraId="6F5ABDA5" w14:textId="77777777" w:rsidR="00F774B0" w:rsidRPr="00DC26F0" w:rsidRDefault="00F774B0" w:rsidP="00893156">
            <w:pPr>
              <w:rPr>
                <w:rFonts w:ascii="Times New Roman" w:hAnsi="Times New Roman" w:cs="Times New Roman"/>
                <w:sz w:val="24"/>
                <w:szCs w:val="24"/>
              </w:rPr>
            </w:pPr>
          </w:p>
          <w:p w14:paraId="072A5729" w14:textId="77777777" w:rsidR="00F774B0" w:rsidRPr="00DC26F0" w:rsidRDefault="00F774B0" w:rsidP="00F774B0">
            <w:pPr>
              <w:rPr>
                <w:rFonts w:ascii="Times New Roman" w:hAnsi="Times New Roman" w:cs="Times New Roman"/>
                <w:sz w:val="24"/>
                <w:szCs w:val="24"/>
              </w:rPr>
            </w:pPr>
            <w:r w:rsidRPr="00DC26F0">
              <w:rPr>
                <w:rFonts w:ascii="Times New Roman" w:hAnsi="Times New Roman" w:cs="Times New Roman"/>
                <w:b/>
                <w:sz w:val="24"/>
                <w:szCs w:val="24"/>
              </w:rPr>
              <w:t>For vitnets leder:</w:t>
            </w:r>
            <w:r w:rsidRPr="00DC26F0">
              <w:rPr>
                <w:rFonts w:ascii="Times New Roman" w:hAnsi="Times New Roman" w:cs="Times New Roman"/>
                <w:sz w:val="24"/>
                <w:szCs w:val="24"/>
              </w:rPr>
              <w:br/>
              <w:t>Jeg har / har ingen (stryk det som ikke passer) innvendinger mot at vitnet forklarer seg for politiet og/eller for retten i den aktuelle sak.</w:t>
            </w:r>
          </w:p>
          <w:p w14:paraId="7E5E68E0" w14:textId="77777777" w:rsidR="00F774B0" w:rsidRPr="00DC26F0" w:rsidRDefault="00F774B0" w:rsidP="00F774B0">
            <w:pPr>
              <w:rPr>
                <w:rFonts w:ascii="Times New Roman" w:hAnsi="Times New Roman" w:cs="Times New Roman"/>
                <w:sz w:val="24"/>
                <w:szCs w:val="24"/>
              </w:rPr>
            </w:pPr>
          </w:p>
          <w:p w14:paraId="06EA674B" w14:textId="77777777" w:rsidR="00F774B0" w:rsidRPr="00DC26F0" w:rsidRDefault="00F774B0" w:rsidP="00F774B0">
            <w:pPr>
              <w:rPr>
                <w:rFonts w:ascii="Times New Roman" w:hAnsi="Times New Roman" w:cs="Times New Roman"/>
                <w:sz w:val="24"/>
                <w:szCs w:val="24"/>
              </w:rPr>
            </w:pPr>
            <w:r w:rsidRPr="00DC26F0">
              <w:rPr>
                <w:rFonts w:ascii="Times New Roman" w:hAnsi="Times New Roman" w:cs="Times New Roman"/>
                <w:sz w:val="24"/>
                <w:szCs w:val="24"/>
                <w:u w:val="single"/>
              </w:rPr>
              <w:br/>
              <w:t>Dato/underskrift</w:t>
            </w:r>
            <w:r w:rsidRPr="00DC26F0">
              <w:rPr>
                <w:rFonts w:ascii="Times New Roman" w:hAnsi="Times New Roman" w:cs="Times New Roman"/>
                <w:sz w:val="24"/>
                <w:szCs w:val="24"/>
                <w:u w:val="single"/>
              </w:rPr>
              <w:br/>
            </w:r>
            <w:r w:rsidRPr="00DC26F0">
              <w:rPr>
                <w:rFonts w:ascii="Times New Roman" w:hAnsi="Times New Roman" w:cs="Times New Roman"/>
                <w:sz w:val="24"/>
                <w:szCs w:val="24"/>
              </w:rPr>
              <w:t>Navn på vitnet</w:t>
            </w:r>
            <w:r w:rsidR="001412DC" w:rsidRPr="00DC26F0">
              <w:rPr>
                <w:rFonts w:ascii="Times New Roman" w:hAnsi="Times New Roman" w:cs="Times New Roman"/>
                <w:sz w:val="24"/>
                <w:szCs w:val="24"/>
              </w:rPr>
              <w:t>s leder</w:t>
            </w:r>
          </w:p>
          <w:p w14:paraId="69895CEB" w14:textId="77777777" w:rsidR="00F774B0" w:rsidRPr="00DC26F0" w:rsidRDefault="00F774B0" w:rsidP="00F774B0">
            <w:pPr>
              <w:rPr>
                <w:rFonts w:ascii="Times New Roman" w:hAnsi="Times New Roman" w:cs="Times New Roman"/>
                <w:sz w:val="24"/>
                <w:szCs w:val="24"/>
              </w:rPr>
            </w:pPr>
          </w:p>
          <w:p w14:paraId="55BE97CF" w14:textId="77777777" w:rsidR="00F774B0" w:rsidRPr="00DC26F0" w:rsidRDefault="00F774B0" w:rsidP="00893156">
            <w:pPr>
              <w:rPr>
                <w:rFonts w:ascii="Times New Roman" w:hAnsi="Times New Roman" w:cs="Times New Roman"/>
                <w:sz w:val="24"/>
                <w:szCs w:val="24"/>
              </w:rPr>
            </w:pPr>
          </w:p>
        </w:tc>
      </w:tr>
    </w:tbl>
    <w:p w14:paraId="2FC49176" w14:textId="77777777" w:rsidR="00893156" w:rsidRDefault="00893156" w:rsidP="00893156"/>
    <w:p w14:paraId="230D15A4" w14:textId="77777777" w:rsidR="00893156" w:rsidRDefault="00893156" w:rsidP="00893156"/>
    <w:p w14:paraId="4803E9C7" w14:textId="77777777" w:rsidR="00893156" w:rsidRDefault="00893156" w:rsidP="00893156"/>
    <w:p w14:paraId="592C4FC8"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13FD995B"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02F0E88B" w14:textId="77777777" w:rsidR="00893156" w:rsidRDefault="00893156" w:rsidP="00893156">
      <w:pPr>
        <w:spacing w:before="100" w:beforeAutospacing="1" w:after="100" w:afterAutospacing="1" w:line="240" w:lineRule="auto"/>
        <w:rPr>
          <w:rFonts w:ascii="Times New Roman" w:eastAsia="Times New Roman" w:hAnsi="Times New Roman" w:cs="Times New Roman"/>
          <w:sz w:val="24"/>
          <w:szCs w:val="24"/>
          <w:lang w:eastAsia="nb-NO"/>
        </w:rPr>
      </w:pPr>
    </w:p>
    <w:p w14:paraId="6F15BD9D" w14:textId="77777777" w:rsidR="00893156" w:rsidRPr="00893156" w:rsidRDefault="00893156" w:rsidP="00893156"/>
    <w:sectPr w:rsidR="00893156" w:rsidRPr="00893156" w:rsidSect="00F774B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3BD6" w14:textId="77777777" w:rsidR="00287FD8" w:rsidRDefault="00287FD8" w:rsidP="001412DC">
      <w:pPr>
        <w:spacing w:after="0" w:line="240" w:lineRule="auto"/>
      </w:pPr>
      <w:r>
        <w:separator/>
      </w:r>
    </w:p>
  </w:endnote>
  <w:endnote w:type="continuationSeparator" w:id="0">
    <w:p w14:paraId="73C63FB1" w14:textId="77777777" w:rsidR="00287FD8" w:rsidRDefault="00287FD8" w:rsidP="0014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98A14" w14:textId="77777777" w:rsidR="00287FD8" w:rsidRDefault="00287FD8" w:rsidP="001412DC">
      <w:pPr>
        <w:spacing w:after="0" w:line="240" w:lineRule="auto"/>
      </w:pPr>
      <w:r>
        <w:separator/>
      </w:r>
    </w:p>
  </w:footnote>
  <w:footnote w:type="continuationSeparator" w:id="0">
    <w:p w14:paraId="782C80C4" w14:textId="77777777" w:rsidR="00287FD8" w:rsidRDefault="00287FD8" w:rsidP="0014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1BDF"/>
    <w:multiLevelType w:val="multilevel"/>
    <w:tmpl w:val="FA04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1727"/>
    <w:multiLevelType w:val="multilevel"/>
    <w:tmpl w:val="C2C0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44DF6"/>
    <w:multiLevelType w:val="multilevel"/>
    <w:tmpl w:val="12D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56"/>
    <w:rsid w:val="001412DC"/>
    <w:rsid w:val="002676E0"/>
    <w:rsid w:val="00287FD8"/>
    <w:rsid w:val="0029165D"/>
    <w:rsid w:val="002F718E"/>
    <w:rsid w:val="005D1273"/>
    <w:rsid w:val="00753F7B"/>
    <w:rsid w:val="00893156"/>
    <w:rsid w:val="00B33487"/>
    <w:rsid w:val="00B35662"/>
    <w:rsid w:val="00DC26F0"/>
    <w:rsid w:val="00F774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975614"/>
  <w15:docId w15:val="{9F0A2908-C9F1-41FD-8CAF-649167C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7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931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93156"/>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89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3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93156"/>
    <w:rPr>
      <w:b/>
      <w:bCs/>
    </w:rPr>
  </w:style>
  <w:style w:type="paragraph" w:customStyle="1" w:styleId="dmfullstory">
    <w:name w:val="dmfullstory"/>
    <w:basedOn w:val="Normal"/>
    <w:rsid w:val="0089315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F774B0"/>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1412D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12DC"/>
    <w:rPr>
      <w:sz w:val="20"/>
      <w:szCs w:val="20"/>
    </w:rPr>
  </w:style>
  <w:style w:type="character" w:styleId="Fotnotereferanse">
    <w:name w:val="footnote reference"/>
    <w:basedOn w:val="Standardskriftforavsnitt"/>
    <w:uiPriority w:val="99"/>
    <w:semiHidden/>
    <w:unhideWhenUsed/>
    <w:rsid w:val="00141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054203">
      <w:bodyDiv w:val="1"/>
      <w:marLeft w:val="0"/>
      <w:marRight w:val="0"/>
      <w:marTop w:val="0"/>
      <w:marBottom w:val="0"/>
      <w:divBdr>
        <w:top w:val="none" w:sz="0" w:space="0" w:color="auto"/>
        <w:left w:val="none" w:sz="0" w:space="0" w:color="auto"/>
        <w:bottom w:val="none" w:sz="0" w:space="0" w:color="auto"/>
        <w:right w:val="none" w:sz="0" w:space="0" w:color="auto"/>
      </w:divBdr>
      <w:divsChild>
        <w:div w:id="1076241158">
          <w:marLeft w:val="0"/>
          <w:marRight w:val="0"/>
          <w:marTop w:val="0"/>
          <w:marBottom w:val="0"/>
          <w:divBdr>
            <w:top w:val="none" w:sz="0" w:space="0" w:color="auto"/>
            <w:left w:val="none" w:sz="0" w:space="0" w:color="auto"/>
            <w:bottom w:val="none" w:sz="0" w:space="0" w:color="auto"/>
            <w:right w:val="none" w:sz="0" w:space="0" w:color="auto"/>
          </w:divBdr>
          <w:divsChild>
            <w:div w:id="1313097187">
              <w:marLeft w:val="0"/>
              <w:marRight w:val="0"/>
              <w:marTop w:val="0"/>
              <w:marBottom w:val="0"/>
              <w:divBdr>
                <w:top w:val="none" w:sz="0" w:space="0" w:color="auto"/>
                <w:left w:val="none" w:sz="0" w:space="0" w:color="auto"/>
                <w:bottom w:val="none" w:sz="0" w:space="0" w:color="auto"/>
                <w:right w:val="none" w:sz="0" w:space="0" w:color="auto"/>
              </w:divBdr>
              <w:divsChild>
                <w:div w:id="1005211288">
                  <w:marLeft w:val="0"/>
                  <w:marRight w:val="0"/>
                  <w:marTop w:val="0"/>
                  <w:marBottom w:val="0"/>
                  <w:divBdr>
                    <w:top w:val="none" w:sz="0" w:space="0" w:color="auto"/>
                    <w:left w:val="none" w:sz="0" w:space="0" w:color="auto"/>
                    <w:bottom w:val="none" w:sz="0" w:space="0" w:color="auto"/>
                    <w:right w:val="none" w:sz="0" w:space="0" w:color="auto"/>
                  </w:divBdr>
                  <w:divsChild>
                    <w:div w:id="1753430955">
                      <w:marLeft w:val="0"/>
                      <w:marRight w:val="0"/>
                      <w:marTop w:val="0"/>
                      <w:marBottom w:val="0"/>
                      <w:divBdr>
                        <w:top w:val="none" w:sz="0" w:space="0" w:color="auto"/>
                        <w:left w:val="none" w:sz="0" w:space="0" w:color="auto"/>
                        <w:bottom w:val="none" w:sz="0" w:space="0" w:color="auto"/>
                        <w:right w:val="none" w:sz="0" w:space="0" w:color="auto"/>
                      </w:divBdr>
                      <w:divsChild>
                        <w:div w:id="123696959">
                          <w:marLeft w:val="0"/>
                          <w:marRight w:val="0"/>
                          <w:marTop w:val="0"/>
                          <w:marBottom w:val="0"/>
                          <w:divBdr>
                            <w:top w:val="none" w:sz="0" w:space="0" w:color="auto"/>
                            <w:left w:val="none" w:sz="0" w:space="0" w:color="auto"/>
                            <w:bottom w:val="none" w:sz="0" w:space="0" w:color="auto"/>
                            <w:right w:val="none" w:sz="0" w:space="0" w:color="auto"/>
                          </w:divBdr>
                        </w:div>
                        <w:div w:id="1708482756">
                          <w:marLeft w:val="0"/>
                          <w:marRight w:val="0"/>
                          <w:marTop w:val="0"/>
                          <w:marBottom w:val="0"/>
                          <w:divBdr>
                            <w:top w:val="none" w:sz="0" w:space="0" w:color="auto"/>
                            <w:left w:val="none" w:sz="0" w:space="0" w:color="auto"/>
                            <w:bottom w:val="none" w:sz="0" w:space="0" w:color="auto"/>
                            <w:right w:val="none" w:sz="0" w:space="0" w:color="auto"/>
                          </w:divBdr>
                        </w:div>
                        <w:div w:id="1824160675">
                          <w:marLeft w:val="0"/>
                          <w:marRight w:val="0"/>
                          <w:marTop w:val="0"/>
                          <w:marBottom w:val="0"/>
                          <w:divBdr>
                            <w:top w:val="none" w:sz="0" w:space="0" w:color="auto"/>
                            <w:left w:val="none" w:sz="0" w:space="0" w:color="auto"/>
                            <w:bottom w:val="none" w:sz="0" w:space="0" w:color="auto"/>
                            <w:right w:val="none" w:sz="0" w:space="0" w:color="auto"/>
                          </w:divBdr>
                        </w:div>
                        <w:div w:id="927884265">
                          <w:marLeft w:val="0"/>
                          <w:marRight w:val="0"/>
                          <w:marTop w:val="0"/>
                          <w:marBottom w:val="0"/>
                          <w:divBdr>
                            <w:top w:val="none" w:sz="0" w:space="0" w:color="auto"/>
                            <w:left w:val="none" w:sz="0" w:space="0" w:color="auto"/>
                            <w:bottom w:val="none" w:sz="0" w:space="0" w:color="auto"/>
                            <w:right w:val="none" w:sz="0" w:space="0" w:color="auto"/>
                          </w:divBdr>
                        </w:div>
                        <w:div w:id="9841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450237">
      <w:bodyDiv w:val="1"/>
      <w:marLeft w:val="0"/>
      <w:marRight w:val="0"/>
      <w:marTop w:val="0"/>
      <w:marBottom w:val="0"/>
      <w:divBdr>
        <w:top w:val="none" w:sz="0" w:space="0" w:color="auto"/>
        <w:left w:val="none" w:sz="0" w:space="0" w:color="auto"/>
        <w:bottom w:val="none" w:sz="0" w:space="0" w:color="auto"/>
        <w:right w:val="none" w:sz="0" w:space="0" w:color="auto"/>
      </w:divBdr>
    </w:div>
    <w:div w:id="817309115">
      <w:bodyDiv w:val="1"/>
      <w:marLeft w:val="0"/>
      <w:marRight w:val="0"/>
      <w:marTop w:val="0"/>
      <w:marBottom w:val="0"/>
      <w:divBdr>
        <w:top w:val="none" w:sz="0" w:space="0" w:color="auto"/>
        <w:left w:val="none" w:sz="0" w:space="0" w:color="auto"/>
        <w:bottom w:val="none" w:sz="0" w:space="0" w:color="auto"/>
        <w:right w:val="none" w:sz="0" w:space="0" w:color="auto"/>
      </w:divBdr>
      <w:divsChild>
        <w:div w:id="1598250102">
          <w:marLeft w:val="0"/>
          <w:marRight w:val="0"/>
          <w:marTop w:val="0"/>
          <w:marBottom w:val="0"/>
          <w:divBdr>
            <w:top w:val="none" w:sz="0" w:space="0" w:color="auto"/>
            <w:left w:val="none" w:sz="0" w:space="0" w:color="auto"/>
            <w:bottom w:val="none" w:sz="0" w:space="0" w:color="auto"/>
            <w:right w:val="none" w:sz="0" w:space="0" w:color="auto"/>
          </w:divBdr>
          <w:divsChild>
            <w:div w:id="1662075347">
              <w:marLeft w:val="0"/>
              <w:marRight w:val="0"/>
              <w:marTop w:val="0"/>
              <w:marBottom w:val="0"/>
              <w:divBdr>
                <w:top w:val="none" w:sz="0" w:space="0" w:color="auto"/>
                <w:left w:val="none" w:sz="0" w:space="0" w:color="auto"/>
                <w:bottom w:val="none" w:sz="0" w:space="0" w:color="auto"/>
                <w:right w:val="none" w:sz="0" w:space="0" w:color="auto"/>
              </w:divBdr>
              <w:divsChild>
                <w:div w:id="1833835211">
                  <w:marLeft w:val="0"/>
                  <w:marRight w:val="0"/>
                  <w:marTop w:val="0"/>
                  <w:marBottom w:val="0"/>
                  <w:divBdr>
                    <w:top w:val="none" w:sz="0" w:space="0" w:color="auto"/>
                    <w:left w:val="none" w:sz="0" w:space="0" w:color="auto"/>
                    <w:bottom w:val="none" w:sz="0" w:space="0" w:color="auto"/>
                    <w:right w:val="none" w:sz="0" w:space="0" w:color="auto"/>
                  </w:divBdr>
                  <w:divsChild>
                    <w:div w:id="864440322">
                      <w:marLeft w:val="0"/>
                      <w:marRight w:val="0"/>
                      <w:marTop w:val="0"/>
                      <w:marBottom w:val="0"/>
                      <w:divBdr>
                        <w:top w:val="none" w:sz="0" w:space="0" w:color="auto"/>
                        <w:left w:val="none" w:sz="0" w:space="0" w:color="auto"/>
                        <w:bottom w:val="none" w:sz="0" w:space="0" w:color="auto"/>
                        <w:right w:val="none" w:sz="0" w:space="0" w:color="auto"/>
                      </w:divBdr>
                      <w:divsChild>
                        <w:div w:id="13816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3477-6AE7-4BBA-ADB7-7E2D0290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4521</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Fylkesmannen i Oslo og Akershus</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Kristiansen, Bjørn-Tore</dc:creator>
  <cp:lastModifiedBy>Kristiansen, Bjørn-Tore</cp:lastModifiedBy>
  <cp:revision>2</cp:revision>
  <dcterms:created xsi:type="dcterms:W3CDTF">2021-01-21T13:19:00Z</dcterms:created>
  <dcterms:modified xsi:type="dcterms:W3CDTF">2021-01-21T13:19:00Z</dcterms:modified>
</cp:coreProperties>
</file>