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741679" w14:textId="44EDCEC0" w:rsidR="00FF25B9" w:rsidRPr="009B29D7" w:rsidRDefault="009B29D7" w:rsidP="00FF25B9">
      <w:pPr>
        <w:pStyle w:val="Forside1"/>
        <w:rPr>
          <w:color w:val="808080" w:themeColor="background1" w:themeShade="80"/>
          <w:sz w:val="24"/>
          <w:szCs w:val="24"/>
        </w:rPr>
      </w:pPr>
      <w:r w:rsidRPr="009B29D7">
        <w:rPr>
          <w:color w:val="808080" w:themeColor="background1" w:themeShade="80"/>
          <w:sz w:val="24"/>
          <w:szCs w:val="24"/>
        </w:rPr>
        <w:t>Samordningsstaben</w:t>
      </w:r>
    </w:p>
    <w:p w14:paraId="6E8EFED0" w14:textId="77777777" w:rsidR="00FF25B9" w:rsidRPr="00C32F4F" w:rsidRDefault="00FF25B9" w:rsidP="00FF25B9">
      <w:pPr>
        <w:pStyle w:val="Forside1"/>
      </w:pPr>
    </w:p>
    <w:p w14:paraId="7ED2701D" w14:textId="77777777" w:rsidR="00FF25B9" w:rsidRPr="00C32F4F" w:rsidRDefault="00FF25B9" w:rsidP="00FF25B9">
      <w:pPr>
        <w:pStyle w:val="Forside1"/>
      </w:pPr>
    </w:p>
    <w:p w14:paraId="6A2400CB" w14:textId="77777777" w:rsidR="00FF25B9" w:rsidRDefault="00FF25B9" w:rsidP="00FF25B9">
      <w:pPr>
        <w:pStyle w:val="Forside1"/>
      </w:pPr>
    </w:p>
    <w:p w14:paraId="1D037D73" w14:textId="77777777" w:rsidR="009B29D7" w:rsidRPr="00233E5F" w:rsidRDefault="009B29D7" w:rsidP="009B29D7">
      <w:pPr>
        <w:pStyle w:val="Forside1"/>
        <w:ind w:left="0"/>
        <w:rPr>
          <w:rStyle w:val="Forside1Tegn"/>
          <w:b/>
        </w:rPr>
      </w:pPr>
      <w:r w:rsidRPr="00233E5F">
        <w:rPr>
          <w:b/>
        </w:rPr>
        <w:t>Informasjon om regjeringens forslag til statsbudsjett for 202</w:t>
      </w:r>
      <w:r>
        <w:rPr>
          <w:b/>
        </w:rPr>
        <w:t>2</w:t>
      </w:r>
    </w:p>
    <w:p w14:paraId="29F06AD6" w14:textId="77777777" w:rsidR="009B29D7" w:rsidRPr="00466088" w:rsidRDefault="009B29D7" w:rsidP="009B29D7">
      <w:pPr>
        <w:pStyle w:val="Forside2"/>
      </w:pPr>
    </w:p>
    <w:p w14:paraId="3A16B617" w14:textId="077A1F3D" w:rsidR="00FF25B9" w:rsidRPr="009B29D7" w:rsidRDefault="009B29D7" w:rsidP="009B29D7">
      <w:pPr>
        <w:pStyle w:val="Forside2"/>
        <w:ind w:left="0"/>
        <w:rPr>
          <w:color w:val="808080" w:themeColor="background1" w:themeShade="80"/>
          <w:sz w:val="26"/>
          <w:szCs w:val="26"/>
        </w:rPr>
      </w:pPr>
      <w:r w:rsidRPr="009B29D7">
        <w:rPr>
          <w:color w:val="808080" w:themeColor="background1" w:themeShade="80"/>
          <w:sz w:val="26"/>
          <w:szCs w:val="26"/>
        </w:rPr>
        <w:t>Prop. 1 S (2021-2022) Proposisjon til Stortinget (forslag til stortingsvedtak)</w:t>
      </w:r>
    </w:p>
    <w:p w14:paraId="44F4010A" w14:textId="77777777" w:rsidR="009B29D7" w:rsidRDefault="00FF25B9" w:rsidP="009B29D7">
      <w:pPr>
        <w:pStyle w:val="Overskrift1"/>
        <w:numPr>
          <w:ilvl w:val="0"/>
          <w:numId w:val="2"/>
        </w:numPr>
        <w:rPr>
          <w:color w:val="808080" w:themeColor="background1" w:themeShade="80"/>
        </w:rPr>
      </w:pPr>
      <w:r w:rsidRPr="009B29D7">
        <w:rPr>
          <w:color w:val="808080" w:themeColor="background1" w:themeShade="80"/>
        </w:rPr>
        <w:br w:type="page"/>
      </w:r>
      <w:bookmarkStart w:id="0" w:name="_Hlk535304727"/>
    </w:p>
    <w:sdt>
      <w:sdtPr>
        <w:rPr>
          <w:rFonts w:ascii="Open Sans" w:eastAsiaTheme="minorEastAsia" w:hAnsi="Open Sans" w:cstheme="minorBidi"/>
          <w:color w:val="auto"/>
          <w:sz w:val="22"/>
          <w:szCs w:val="22"/>
        </w:rPr>
        <w:id w:val="1944032946"/>
        <w:docPartObj>
          <w:docPartGallery w:val="Table of Contents"/>
          <w:docPartUnique/>
        </w:docPartObj>
      </w:sdtPr>
      <w:sdtEndPr>
        <w:rPr>
          <w:b/>
          <w:bCs/>
        </w:rPr>
      </w:sdtEndPr>
      <w:sdtContent>
        <w:p w14:paraId="7A3BA61B" w14:textId="48E951B3" w:rsidR="009B29D7" w:rsidRDefault="009B29D7">
          <w:pPr>
            <w:pStyle w:val="Overskriftforinnholdsfortegnelse"/>
          </w:pPr>
          <w:r>
            <w:t>Innhold</w:t>
          </w:r>
        </w:p>
        <w:p w14:paraId="76CC401F" w14:textId="6642E5E7" w:rsidR="0076289F" w:rsidRDefault="009B29D7">
          <w:pPr>
            <w:pStyle w:val="INNH1"/>
            <w:tabs>
              <w:tab w:val="left" w:pos="440"/>
              <w:tab w:val="right" w:leader="dot" w:pos="9062"/>
            </w:tabs>
            <w:rPr>
              <w:rFonts w:asciiTheme="minorHAnsi" w:hAnsiTheme="minorHAnsi"/>
              <w:noProof/>
            </w:rPr>
          </w:pPr>
          <w:r>
            <w:fldChar w:fldCharType="begin"/>
          </w:r>
          <w:r>
            <w:instrText xml:space="preserve"> TOC \o "1-3" \h \z \u </w:instrText>
          </w:r>
          <w:r>
            <w:fldChar w:fldCharType="separate"/>
          </w:r>
          <w:hyperlink w:anchor="_Toc85029679" w:history="1">
            <w:r w:rsidR="0076289F" w:rsidRPr="00711BE6">
              <w:rPr>
                <w:rStyle w:val="Hyperkobling"/>
                <w:noProof/>
              </w:rPr>
              <w:t>2.</w:t>
            </w:r>
            <w:r w:rsidR="0076289F">
              <w:rPr>
                <w:rFonts w:asciiTheme="minorHAnsi" w:hAnsiTheme="minorHAnsi"/>
                <w:noProof/>
              </w:rPr>
              <w:tab/>
            </w:r>
            <w:r w:rsidR="0076289F" w:rsidRPr="00711BE6">
              <w:rPr>
                <w:rStyle w:val="Hyperkobling"/>
                <w:noProof/>
              </w:rPr>
              <w:t>Innledning</w:t>
            </w:r>
            <w:r w:rsidR="0076289F">
              <w:rPr>
                <w:noProof/>
                <w:webHidden/>
              </w:rPr>
              <w:tab/>
            </w:r>
            <w:r w:rsidR="0076289F">
              <w:rPr>
                <w:noProof/>
                <w:webHidden/>
              </w:rPr>
              <w:fldChar w:fldCharType="begin"/>
            </w:r>
            <w:r w:rsidR="0076289F">
              <w:rPr>
                <w:noProof/>
                <w:webHidden/>
              </w:rPr>
              <w:instrText xml:space="preserve"> PAGEREF _Toc85029679 \h </w:instrText>
            </w:r>
            <w:r w:rsidR="0076289F">
              <w:rPr>
                <w:noProof/>
                <w:webHidden/>
              </w:rPr>
            </w:r>
            <w:r w:rsidR="0076289F">
              <w:rPr>
                <w:noProof/>
                <w:webHidden/>
              </w:rPr>
              <w:fldChar w:fldCharType="separate"/>
            </w:r>
            <w:r w:rsidR="0076289F">
              <w:rPr>
                <w:noProof/>
                <w:webHidden/>
              </w:rPr>
              <w:t>3</w:t>
            </w:r>
            <w:r w:rsidR="0076289F">
              <w:rPr>
                <w:noProof/>
                <w:webHidden/>
              </w:rPr>
              <w:fldChar w:fldCharType="end"/>
            </w:r>
          </w:hyperlink>
        </w:p>
        <w:p w14:paraId="14C4E159" w14:textId="438DDF44" w:rsidR="0076289F" w:rsidRDefault="0076289F">
          <w:pPr>
            <w:pStyle w:val="INNH1"/>
            <w:tabs>
              <w:tab w:val="left" w:pos="440"/>
              <w:tab w:val="right" w:leader="dot" w:pos="9062"/>
            </w:tabs>
            <w:rPr>
              <w:rFonts w:asciiTheme="minorHAnsi" w:hAnsiTheme="minorHAnsi"/>
              <w:noProof/>
            </w:rPr>
          </w:pPr>
          <w:hyperlink w:anchor="_Toc85029680" w:history="1">
            <w:r w:rsidRPr="00711BE6">
              <w:rPr>
                <w:rStyle w:val="Hyperkobling"/>
                <w:noProof/>
              </w:rPr>
              <w:t>3.</w:t>
            </w:r>
            <w:r>
              <w:rPr>
                <w:rFonts w:asciiTheme="minorHAnsi" w:hAnsiTheme="minorHAnsi"/>
                <w:noProof/>
              </w:rPr>
              <w:tab/>
            </w:r>
            <w:r w:rsidRPr="00711BE6">
              <w:rPr>
                <w:rStyle w:val="Hyperkobling"/>
                <w:noProof/>
              </w:rPr>
              <w:t>Endringer i det økonomiske opplegget for kommunesektoren 2021</w:t>
            </w:r>
            <w:r>
              <w:rPr>
                <w:noProof/>
                <w:webHidden/>
              </w:rPr>
              <w:tab/>
            </w:r>
            <w:r>
              <w:rPr>
                <w:noProof/>
                <w:webHidden/>
              </w:rPr>
              <w:fldChar w:fldCharType="begin"/>
            </w:r>
            <w:r>
              <w:rPr>
                <w:noProof/>
                <w:webHidden/>
              </w:rPr>
              <w:instrText xml:space="preserve"> PAGEREF _Toc85029680 \h </w:instrText>
            </w:r>
            <w:r>
              <w:rPr>
                <w:noProof/>
                <w:webHidden/>
              </w:rPr>
            </w:r>
            <w:r>
              <w:rPr>
                <w:noProof/>
                <w:webHidden/>
              </w:rPr>
              <w:fldChar w:fldCharType="separate"/>
            </w:r>
            <w:r>
              <w:rPr>
                <w:noProof/>
                <w:webHidden/>
              </w:rPr>
              <w:t>3</w:t>
            </w:r>
            <w:r>
              <w:rPr>
                <w:noProof/>
                <w:webHidden/>
              </w:rPr>
              <w:fldChar w:fldCharType="end"/>
            </w:r>
          </w:hyperlink>
        </w:p>
        <w:p w14:paraId="6005BF03" w14:textId="702077C8" w:rsidR="0076289F" w:rsidRDefault="0076289F">
          <w:pPr>
            <w:pStyle w:val="INNH2"/>
            <w:tabs>
              <w:tab w:val="left" w:pos="880"/>
              <w:tab w:val="right" w:leader="dot" w:pos="9062"/>
            </w:tabs>
            <w:rPr>
              <w:rFonts w:asciiTheme="minorHAnsi" w:hAnsiTheme="minorHAnsi"/>
              <w:noProof/>
            </w:rPr>
          </w:pPr>
          <w:hyperlink w:anchor="_Toc85029681" w:history="1">
            <w:r w:rsidRPr="00711BE6">
              <w:rPr>
                <w:rStyle w:val="Hyperkobling"/>
                <w:noProof/>
              </w:rPr>
              <w:t>3.1</w:t>
            </w:r>
            <w:r>
              <w:rPr>
                <w:rFonts w:asciiTheme="minorHAnsi" w:hAnsiTheme="minorHAnsi"/>
                <w:noProof/>
              </w:rPr>
              <w:tab/>
            </w:r>
            <w:r w:rsidRPr="00711BE6">
              <w:rPr>
                <w:rStyle w:val="Hyperkobling"/>
                <w:noProof/>
              </w:rPr>
              <w:t>Kommunesektorens inntekter i 2021</w:t>
            </w:r>
            <w:r>
              <w:rPr>
                <w:noProof/>
                <w:webHidden/>
              </w:rPr>
              <w:tab/>
            </w:r>
            <w:r>
              <w:rPr>
                <w:noProof/>
                <w:webHidden/>
              </w:rPr>
              <w:fldChar w:fldCharType="begin"/>
            </w:r>
            <w:r>
              <w:rPr>
                <w:noProof/>
                <w:webHidden/>
              </w:rPr>
              <w:instrText xml:space="preserve"> PAGEREF _Toc85029681 \h </w:instrText>
            </w:r>
            <w:r>
              <w:rPr>
                <w:noProof/>
                <w:webHidden/>
              </w:rPr>
            </w:r>
            <w:r>
              <w:rPr>
                <w:noProof/>
                <w:webHidden/>
              </w:rPr>
              <w:fldChar w:fldCharType="separate"/>
            </w:r>
            <w:r>
              <w:rPr>
                <w:noProof/>
                <w:webHidden/>
              </w:rPr>
              <w:t>3</w:t>
            </w:r>
            <w:r>
              <w:rPr>
                <w:noProof/>
                <w:webHidden/>
              </w:rPr>
              <w:fldChar w:fldCharType="end"/>
            </w:r>
          </w:hyperlink>
        </w:p>
        <w:p w14:paraId="577DD252" w14:textId="33816853" w:rsidR="0076289F" w:rsidRDefault="0076289F">
          <w:pPr>
            <w:pStyle w:val="INNH2"/>
            <w:tabs>
              <w:tab w:val="left" w:pos="880"/>
              <w:tab w:val="right" w:leader="dot" w:pos="9062"/>
            </w:tabs>
            <w:rPr>
              <w:rFonts w:asciiTheme="minorHAnsi" w:hAnsiTheme="minorHAnsi"/>
              <w:noProof/>
            </w:rPr>
          </w:pPr>
          <w:hyperlink w:anchor="_Toc85029682" w:history="1">
            <w:r w:rsidRPr="00711BE6">
              <w:rPr>
                <w:rStyle w:val="Hyperkobling"/>
                <w:noProof/>
              </w:rPr>
              <w:t>3.2</w:t>
            </w:r>
            <w:r>
              <w:rPr>
                <w:rFonts w:asciiTheme="minorHAnsi" w:hAnsiTheme="minorHAnsi"/>
                <w:noProof/>
              </w:rPr>
              <w:tab/>
            </w:r>
            <w:r w:rsidRPr="00711BE6">
              <w:rPr>
                <w:rStyle w:val="Hyperkobling"/>
                <w:noProof/>
              </w:rPr>
              <w:t>Koronapandemien</w:t>
            </w:r>
            <w:r>
              <w:rPr>
                <w:noProof/>
                <w:webHidden/>
              </w:rPr>
              <w:tab/>
            </w:r>
            <w:r>
              <w:rPr>
                <w:noProof/>
                <w:webHidden/>
              </w:rPr>
              <w:fldChar w:fldCharType="begin"/>
            </w:r>
            <w:r>
              <w:rPr>
                <w:noProof/>
                <w:webHidden/>
              </w:rPr>
              <w:instrText xml:space="preserve"> PAGEREF _Toc85029682 \h </w:instrText>
            </w:r>
            <w:r>
              <w:rPr>
                <w:noProof/>
                <w:webHidden/>
              </w:rPr>
            </w:r>
            <w:r>
              <w:rPr>
                <w:noProof/>
                <w:webHidden/>
              </w:rPr>
              <w:fldChar w:fldCharType="separate"/>
            </w:r>
            <w:r>
              <w:rPr>
                <w:noProof/>
                <w:webHidden/>
              </w:rPr>
              <w:t>4</w:t>
            </w:r>
            <w:r>
              <w:rPr>
                <w:noProof/>
                <w:webHidden/>
              </w:rPr>
              <w:fldChar w:fldCharType="end"/>
            </w:r>
          </w:hyperlink>
        </w:p>
        <w:p w14:paraId="10FA73C7" w14:textId="519750BB" w:rsidR="0076289F" w:rsidRDefault="0076289F">
          <w:pPr>
            <w:pStyle w:val="INNH1"/>
            <w:tabs>
              <w:tab w:val="left" w:pos="440"/>
              <w:tab w:val="right" w:leader="dot" w:pos="9062"/>
            </w:tabs>
            <w:rPr>
              <w:rFonts w:asciiTheme="minorHAnsi" w:hAnsiTheme="minorHAnsi"/>
              <w:noProof/>
            </w:rPr>
          </w:pPr>
          <w:hyperlink w:anchor="_Toc85029683" w:history="1">
            <w:r w:rsidRPr="00711BE6">
              <w:rPr>
                <w:rStyle w:val="Hyperkobling"/>
                <w:noProof/>
              </w:rPr>
              <w:t>4.</w:t>
            </w:r>
            <w:r>
              <w:rPr>
                <w:rFonts w:asciiTheme="minorHAnsi" w:hAnsiTheme="minorHAnsi"/>
                <w:noProof/>
              </w:rPr>
              <w:tab/>
            </w:r>
            <w:r w:rsidRPr="00711BE6">
              <w:rPr>
                <w:rStyle w:val="Hyperkobling"/>
                <w:noProof/>
              </w:rPr>
              <w:t>Det økonomiske opplegget for kommunesektoren i 2022</w:t>
            </w:r>
            <w:r>
              <w:rPr>
                <w:noProof/>
                <w:webHidden/>
              </w:rPr>
              <w:tab/>
            </w:r>
            <w:r>
              <w:rPr>
                <w:noProof/>
                <w:webHidden/>
              </w:rPr>
              <w:fldChar w:fldCharType="begin"/>
            </w:r>
            <w:r>
              <w:rPr>
                <w:noProof/>
                <w:webHidden/>
              </w:rPr>
              <w:instrText xml:space="preserve"> PAGEREF _Toc85029683 \h </w:instrText>
            </w:r>
            <w:r>
              <w:rPr>
                <w:noProof/>
                <w:webHidden/>
              </w:rPr>
            </w:r>
            <w:r>
              <w:rPr>
                <w:noProof/>
                <w:webHidden/>
              </w:rPr>
              <w:fldChar w:fldCharType="separate"/>
            </w:r>
            <w:r>
              <w:rPr>
                <w:noProof/>
                <w:webHidden/>
              </w:rPr>
              <w:t>4</w:t>
            </w:r>
            <w:r>
              <w:rPr>
                <w:noProof/>
                <w:webHidden/>
              </w:rPr>
              <w:fldChar w:fldCharType="end"/>
            </w:r>
          </w:hyperlink>
        </w:p>
        <w:p w14:paraId="7338408D" w14:textId="40033EF3" w:rsidR="0076289F" w:rsidRDefault="0076289F">
          <w:pPr>
            <w:pStyle w:val="INNH2"/>
            <w:tabs>
              <w:tab w:val="left" w:pos="880"/>
              <w:tab w:val="right" w:leader="dot" w:pos="9062"/>
            </w:tabs>
            <w:rPr>
              <w:rFonts w:asciiTheme="minorHAnsi" w:hAnsiTheme="minorHAnsi"/>
              <w:noProof/>
            </w:rPr>
          </w:pPr>
          <w:hyperlink w:anchor="_Toc85029684" w:history="1">
            <w:r w:rsidRPr="00711BE6">
              <w:rPr>
                <w:rStyle w:val="Hyperkobling"/>
                <w:noProof/>
              </w:rPr>
              <w:t>4.1</w:t>
            </w:r>
            <w:r>
              <w:rPr>
                <w:rFonts w:asciiTheme="minorHAnsi" w:hAnsiTheme="minorHAnsi"/>
                <w:noProof/>
              </w:rPr>
              <w:tab/>
            </w:r>
            <w:r w:rsidRPr="00711BE6">
              <w:rPr>
                <w:rStyle w:val="Hyperkobling"/>
                <w:noProof/>
              </w:rPr>
              <w:t>Frie inntekter</w:t>
            </w:r>
            <w:r>
              <w:rPr>
                <w:noProof/>
                <w:webHidden/>
              </w:rPr>
              <w:tab/>
            </w:r>
            <w:r>
              <w:rPr>
                <w:noProof/>
                <w:webHidden/>
              </w:rPr>
              <w:fldChar w:fldCharType="begin"/>
            </w:r>
            <w:r>
              <w:rPr>
                <w:noProof/>
                <w:webHidden/>
              </w:rPr>
              <w:instrText xml:space="preserve"> PAGEREF _Toc85029684 \h </w:instrText>
            </w:r>
            <w:r>
              <w:rPr>
                <w:noProof/>
                <w:webHidden/>
              </w:rPr>
            </w:r>
            <w:r>
              <w:rPr>
                <w:noProof/>
                <w:webHidden/>
              </w:rPr>
              <w:fldChar w:fldCharType="separate"/>
            </w:r>
            <w:r>
              <w:rPr>
                <w:noProof/>
                <w:webHidden/>
              </w:rPr>
              <w:t>5</w:t>
            </w:r>
            <w:r>
              <w:rPr>
                <w:noProof/>
                <w:webHidden/>
              </w:rPr>
              <w:fldChar w:fldCharType="end"/>
            </w:r>
          </w:hyperlink>
        </w:p>
        <w:p w14:paraId="50116851" w14:textId="0294E192" w:rsidR="0076289F" w:rsidRDefault="0076289F">
          <w:pPr>
            <w:pStyle w:val="INNH2"/>
            <w:tabs>
              <w:tab w:val="left" w:pos="880"/>
              <w:tab w:val="right" w:leader="dot" w:pos="9062"/>
            </w:tabs>
            <w:rPr>
              <w:rFonts w:asciiTheme="minorHAnsi" w:hAnsiTheme="minorHAnsi"/>
              <w:noProof/>
            </w:rPr>
          </w:pPr>
          <w:hyperlink w:anchor="_Toc85029685" w:history="1">
            <w:r w:rsidRPr="00711BE6">
              <w:rPr>
                <w:rStyle w:val="Hyperkobling"/>
                <w:noProof/>
              </w:rPr>
              <w:t>4.2</w:t>
            </w:r>
            <w:r>
              <w:rPr>
                <w:rFonts w:asciiTheme="minorHAnsi" w:hAnsiTheme="minorHAnsi"/>
                <w:noProof/>
              </w:rPr>
              <w:tab/>
            </w:r>
            <w:r w:rsidRPr="00711BE6">
              <w:rPr>
                <w:rStyle w:val="Hyperkobling"/>
                <w:noProof/>
              </w:rPr>
              <w:t>Deflator</w:t>
            </w:r>
            <w:r>
              <w:rPr>
                <w:noProof/>
                <w:webHidden/>
              </w:rPr>
              <w:tab/>
            </w:r>
            <w:r>
              <w:rPr>
                <w:noProof/>
                <w:webHidden/>
              </w:rPr>
              <w:fldChar w:fldCharType="begin"/>
            </w:r>
            <w:r>
              <w:rPr>
                <w:noProof/>
                <w:webHidden/>
              </w:rPr>
              <w:instrText xml:space="preserve"> PAGEREF _Toc85029685 \h </w:instrText>
            </w:r>
            <w:r>
              <w:rPr>
                <w:noProof/>
                <w:webHidden/>
              </w:rPr>
            </w:r>
            <w:r>
              <w:rPr>
                <w:noProof/>
                <w:webHidden/>
              </w:rPr>
              <w:fldChar w:fldCharType="separate"/>
            </w:r>
            <w:r>
              <w:rPr>
                <w:noProof/>
                <w:webHidden/>
              </w:rPr>
              <w:t>7</w:t>
            </w:r>
            <w:r>
              <w:rPr>
                <w:noProof/>
                <w:webHidden/>
              </w:rPr>
              <w:fldChar w:fldCharType="end"/>
            </w:r>
          </w:hyperlink>
        </w:p>
        <w:p w14:paraId="46DBD872" w14:textId="5C52E333" w:rsidR="0076289F" w:rsidRDefault="0076289F">
          <w:pPr>
            <w:pStyle w:val="INNH2"/>
            <w:tabs>
              <w:tab w:val="left" w:pos="880"/>
              <w:tab w:val="right" w:leader="dot" w:pos="9062"/>
            </w:tabs>
            <w:rPr>
              <w:rFonts w:asciiTheme="minorHAnsi" w:hAnsiTheme="minorHAnsi"/>
              <w:noProof/>
            </w:rPr>
          </w:pPr>
          <w:hyperlink w:anchor="_Toc85029686" w:history="1">
            <w:r w:rsidRPr="00711BE6">
              <w:rPr>
                <w:rStyle w:val="Hyperkobling"/>
                <w:noProof/>
              </w:rPr>
              <w:t>4.3</w:t>
            </w:r>
            <w:r>
              <w:rPr>
                <w:rFonts w:asciiTheme="minorHAnsi" w:hAnsiTheme="minorHAnsi"/>
                <w:noProof/>
              </w:rPr>
              <w:tab/>
            </w:r>
            <w:r w:rsidRPr="00711BE6">
              <w:rPr>
                <w:rStyle w:val="Hyperkobling"/>
                <w:noProof/>
              </w:rPr>
              <w:t>Skattøren</w:t>
            </w:r>
            <w:r>
              <w:rPr>
                <w:noProof/>
                <w:webHidden/>
              </w:rPr>
              <w:tab/>
            </w:r>
            <w:r>
              <w:rPr>
                <w:noProof/>
                <w:webHidden/>
              </w:rPr>
              <w:fldChar w:fldCharType="begin"/>
            </w:r>
            <w:r>
              <w:rPr>
                <w:noProof/>
                <w:webHidden/>
              </w:rPr>
              <w:instrText xml:space="preserve"> PAGEREF _Toc85029686 \h </w:instrText>
            </w:r>
            <w:r>
              <w:rPr>
                <w:noProof/>
                <w:webHidden/>
              </w:rPr>
            </w:r>
            <w:r>
              <w:rPr>
                <w:noProof/>
                <w:webHidden/>
              </w:rPr>
              <w:fldChar w:fldCharType="separate"/>
            </w:r>
            <w:r>
              <w:rPr>
                <w:noProof/>
                <w:webHidden/>
              </w:rPr>
              <w:t>8</w:t>
            </w:r>
            <w:r>
              <w:rPr>
                <w:noProof/>
                <w:webHidden/>
              </w:rPr>
              <w:fldChar w:fldCharType="end"/>
            </w:r>
          </w:hyperlink>
        </w:p>
        <w:p w14:paraId="7B0B7244" w14:textId="358C09B1" w:rsidR="0076289F" w:rsidRDefault="0076289F">
          <w:pPr>
            <w:pStyle w:val="INNH2"/>
            <w:tabs>
              <w:tab w:val="left" w:pos="880"/>
              <w:tab w:val="right" w:leader="dot" w:pos="9062"/>
            </w:tabs>
            <w:rPr>
              <w:rFonts w:asciiTheme="minorHAnsi" w:hAnsiTheme="minorHAnsi"/>
              <w:noProof/>
            </w:rPr>
          </w:pPr>
          <w:hyperlink w:anchor="_Toc85029687" w:history="1">
            <w:r w:rsidRPr="00711BE6">
              <w:rPr>
                <w:rStyle w:val="Hyperkobling"/>
                <w:noProof/>
              </w:rPr>
              <w:t>4.4</w:t>
            </w:r>
            <w:r>
              <w:rPr>
                <w:rFonts w:asciiTheme="minorHAnsi" w:hAnsiTheme="minorHAnsi"/>
                <w:noProof/>
              </w:rPr>
              <w:tab/>
            </w:r>
            <w:r w:rsidRPr="00711BE6">
              <w:rPr>
                <w:rStyle w:val="Hyperkobling"/>
                <w:noProof/>
              </w:rPr>
              <w:t>Utgiftsutjevningen 2022- bruk av regnskapstall fra 2019</w:t>
            </w:r>
            <w:r>
              <w:rPr>
                <w:noProof/>
                <w:webHidden/>
              </w:rPr>
              <w:tab/>
            </w:r>
            <w:r>
              <w:rPr>
                <w:noProof/>
                <w:webHidden/>
              </w:rPr>
              <w:fldChar w:fldCharType="begin"/>
            </w:r>
            <w:r>
              <w:rPr>
                <w:noProof/>
                <w:webHidden/>
              </w:rPr>
              <w:instrText xml:space="preserve"> PAGEREF _Toc85029687 \h </w:instrText>
            </w:r>
            <w:r>
              <w:rPr>
                <w:noProof/>
                <w:webHidden/>
              </w:rPr>
            </w:r>
            <w:r>
              <w:rPr>
                <w:noProof/>
                <w:webHidden/>
              </w:rPr>
              <w:fldChar w:fldCharType="separate"/>
            </w:r>
            <w:r>
              <w:rPr>
                <w:noProof/>
                <w:webHidden/>
              </w:rPr>
              <w:t>9</w:t>
            </w:r>
            <w:r>
              <w:rPr>
                <w:noProof/>
                <w:webHidden/>
              </w:rPr>
              <w:fldChar w:fldCharType="end"/>
            </w:r>
          </w:hyperlink>
        </w:p>
        <w:p w14:paraId="012B8747" w14:textId="7F595C94" w:rsidR="0076289F" w:rsidRDefault="0076289F">
          <w:pPr>
            <w:pStyle w:val="INNH2"/>
            <w:tabs>
              <w:tab w:val="left" w:pos="880"/>
              <w:tab w:val="right" w:leader="dot" w:pos="9062"/>
            </w:tabs>
            <w:rPr>
              <w:rFonts w:asciiTheme="minorHAnsi" w:hAnsiTheme="minorHAnsi"/>
              <w:noProof/>
            </w:rPr>
          </w:pPr>
          <w:hyperlink w:anchor="_Toc85029688" w:history="1">
            <w:r w:rsidRPr="00711BE6">
              <w:rPr>
                <w:rStyle w:val="Hyperkobling"/>
                <w:noProof/>
              </w:rPr>
              <w:t>4.5</w:t>
            </w:r>
            <w:r>
              <w:rPr>
                <w:rFonts w:asciiTheme="minorHAnsi" w:hAnsiTheme="minorHAnsi"/>
                <w:noProof/>
              </w:rPr>
              <w:tab/>
            </w:r>
            <w:r w:rsidRPr="00711BE6">
              <w:rPr>
                <w:rStyle w:val="Hyperkobling"/>
                <w:noProof/>
              </w:rPr>
              <w:t>Skjønnsmidler</w:t>
            </w:r>
            <w:r>
              <w:rPr>
                <w:noProof/>
                <w:webHidden/>
              </w:rPr>
              <w:tab/>
            </w:r>
            <w:r>
              <w:rPr>
                <w:noProof/>
                <w:webHidden/>
              </w:rPr>
              <w:fldChar w:fldCharType="begin"/>
            </w:r>
            <w:r>
              <w:rPr>
                <w:noProof/>
                <w:webHidden/>
              </w:rPr>
              <w:instrText xml:space="preserve"> PAGEREF _Toc85029688 \h </w:instrText>
            </w:r>
            <w:r>
              <w:rPr>
                <w:noProof/>
                <w:webHidden/>
              </w:rPr>
            </w:r>
            <w:r>
              <w:rPr>
                <w:noProof/>
                <w:webHidden/>
              </w:rPr>
              <w:fldChar w:fldCharType="separate"/>
            </w:r>
            <w:r>
              <w:rPr>
                <w:noProof/>
                <w:webHidden/>
              </w:rPr>
              <w:t>9</w:t>
            </w:r>
            <w:r>
              <w:rPr>
                <w:noProof/>
                <w:webHidden/>
              </w:rPr>
              <w:fldChar w:fldCharType="end"/>
            </w:r>
          </w:hyperlink>
        </w:p>
        <w:p w14:paraId="7DF169E8" w14:textId="009484A2" w:rsidR="0076289F" w:rsidRDefault="0076289F">
          <w:pPr>
            <w:pStyle w:val="INNH2"/>
            <w:tabs>
              <w:tab w:val="left" w:pos="880"/>
              <w:tab w:val="right" w:leader="dot" w:pos="9062"/>
            </w:tabs>
            <w:rPr>
              <w:rFonts w:asciiTheme="minorHAnsi" w:hAnsiTheme="minorHAnsi"/>
              <w:noProof/>
            </w:rPr>
          </w:pPr>
          <w:hyperlink w:anchor="_Toc85029689" w:history="1">
            <w:r w:rsidRPr="00711BE6">
              <w:rPr>
                <w:rStyle w:val="Hyperkobling"/>
                <w:noProof/>
              </w:rPr>
              <w:t>4.6</w:t>
            </w:r>
            <w:r>
              <w:rPr>
                <w:rFonts w:asciiTheme="minorHAnsi" w:hAnsiTheme="minorHAnsi"/>
                <w:noProof/>
              </w:rPr>
              <w:tab/>
            </w:r>
            <w:r w:rsidRPr="00711BE6">
              <w:rPr>
                <w:rStyle w:val="Hyperkobling"/>
                <w:noProof/>
              </w:rPr>
              <w:t>Barnevernsreformen</w:t>
            </w:r>
            <w:r>
              <w:rPr>
                <w:noProof/>
                <w:webHidden/>
              </w:rPr>
              <w:tab/>
            </w:r>
            <w:r>
              <w:rPr>
                <w:noProof/>
                <w:webHidden/>
              </w:rPr>
              <w:fldChar w:fldCharType="begin"/>
            </w:r>
            <w:r>
              <w:rPr>
                <w:noProof/>
                <w:webHidden/>
              </w:rPr>
              <w:instrText xml:space="preserve"> PAGEREF _Toc85029689 \h </w:instrText>
            </w:r>
            <w:r>
              <w:rPr>
                <w:noProof/>
                <w:webHidden/>
              </w:rPr>
            </w:r>
            <w:r>
              <w:rPr>
                <w:noProof/>
                <w:webHidden/>
              </w:rPr>
              <w:fldChar w:fldCharType="separate"/>
            </w:r>
            <w:r>
              <w:rPr>
                <w:noProof/>
                <w:webHidden/>
              </w:rPr>
              <w:t>10</w:t>
            </w:r>
            <w:r>
              <w:rPr>
                <w:noProof/>
                <w:webHidden/>
              </w:rPr>
              <w:fldChar w:fldCharType="end"/>
            </w:r>
          </w:hyperlink>
        </w:p>
        <w:p w14:paraId="3178F58D" w14:textId="0777ACC6" w:rsidR="0076289F" w:rsidRDefault="0076289F">
          <w:pPr>
            <w:pStyle w:val="INNH2"/>
            <w:tabs>
              <w:tab w:val="left" w:pos="880"/>
              <w:tab w:val="right" w:leader="dot" w:pos="9062"/>
            </w:tabs>
            <w:rPr>
              <w:rFonts w:asciiTheme="minorHAnsi" w:hAnsiTheme="minorHAnsi"/>
              <w:noProof/>
            </w:rPr>
          </w:pPr>
          <w:hyperlink w:anchor="_Toc85029690" w:history="1">
            <w:r w:rsidRPr="00711BE6">
              <w:rPr>
                <w:rStyle w:val="Hyperkobling"/>
                <w:rFonts w:eastAsia="Calibri"/>
                <w:noProof/>
              </w:rPr>
              <w:t>4.7</w:t>
            </w:r>
            <w:r>
              <w:rPr>
                <w:rFonts w:asciiTheme="minorHAnsi" w:hAnsiTheme="minorHAnsi"/>
                <w:noProof/>
              </w:rPr>
              <w:tab/>
            </w:r>
            <w:r w:rsidRPr="00711BE6">
              <w:rPr>
                <w:rStyle w:val="Hyperkobling"/>
                <w:rFonts w:eastAsia="Calibri"/>
                <w:noProof/>
              </w:rPr>
              <w:t>Ressurskrevende tjenester</w:t>
            </w:r>
            <w:r>
              <w:rPr>
                <w:noProof/>
                <w:webHidden/>
              </w:rPr>
              <w:tab/>
            </w:r>
            <w:r>
              <w:rPr>
                <w:noProof/>
                <w:webHidden/>
              </w:rPr>
              <w:fldChar w:fldCharType="begin"/>
            </w:r>
            <w:r>
              <w:rPr>
                <w:noProof/>
                <w:webHidden/>
              </w:rPr>
              <w:instrText xml:space="preserve"> PAGEREF _Toc85029690 \h </w:instrText>
            </w:r>
            <w:r>
              <w:rPr>
                <w:noProof/>
                <w:webHidden/>
              </w:rPr>
            </w:r>
            <w:r>
              <w:rPr>
                <w:noProof/>
                <w:webHidden/>
              </w:rPr>
              <w:fldChar w:fldCharType="separate"/>
            </w:r>
            <w:r>
              <w:rPr>
                <w:noProof/>
                <w:webHidden/>
              </w:rPr>
              <w:t>11</w:t>
            </w:r>
            <w:r>
              <w:rPr>
                <w:noProof/>
                <w:webHidden/>
              </w:rPr>
              <w:fldChar w:fldCharType="end"/>
            </w:r>
          </w:hyperlink>
        </w:p>
        <w:p w14:paraId="0870E271" w14:textId="59E7880F" w:rsidR="0076289F" w:rsidRDefault="0076289F">
          <w:pPr>
            <w:pStyle w:val="INNH2"/>
            <w:tabs>
              <w:tab w:val="left" w:pos="880"/>
              <w:tab w:val="right" w:leader="dot" w:pos="9062"/>
            </w:tabs>
            <w:rPr>
              <w:rFonts w:asciiTheme="minorHAnsi" w:hAnsiTheme="minorHAnsi"/>
              <w:noProof/>
            </w:rPr>
          </w:pPr>
          <w:hyperlink w:anchor="_Toc85029691" w:history="1">
            <w:r w:rsidRPr="00711BE6">
              <w:rPr>
                <w:rStyle w:val="Hyperkobling"/>
                <w:rFonts w:eastAsia="Calibri"/>
                <w:noProof/>
              </w:rPr>
              <w:t>4.8</w:t>
            </w:r>
            <w:r>
              <w:rPr>
                <w:rFonts w:asciiTheme="minorHAnsi" w:hAnsiTheme="minorHAnsi"/>
                <w:noProof/>
              </w:rPr>
              <w:tab/>
            </w:r>
            <w:r w:rsidRPr="00711BE6">
              <w:rPr>
                <w:rStyle w:val="Hyperkobling"/>
                <w:rFonts w:eastAsia="Calibri"/>
                <w:noProof/>
              </w:rPr>
              <w:t>Andre aktuelle saker av betydning for kommunene</w:t>
            </w:r>
            <w:r>
              <w:rPr>
                <w:noProof/>
                <w:webHidden/>
              </w:rPr>
              <w:tab/>
            </w:r>
            <w:r>
              <w:rPr>
                <w:noProof/>
                <w:webHidden/>
              </w:rPr>
              <w:fldChar w:fldCharType="begin"/>
            </w:r>
            <w:r>
              <w:rPr>
                <w:noProof/>
                <w:webHidden/>
              </w:rPr>
              <w:instrText xml:space="preserve"> PAGEREF _Toc85029691 \h </w:instrText>
            </w:r>
            <w:r>
              <w:rPr>
                <w:noProof/>
                <w:webHidden/>
              </w:rPr>
            </w:r>
            <w:r>
              <w:rPr>
                <w:noProof/>
                <w:webHidden/>
              </w:rPr>
              <w:fldChar w:fldCharType="separate"/>
            </w:r>
            <w:r>
              <w:rPr>
                <w:noProof/>
                <w:webHidden/>
              </w:rPr>
              <w:t>12</w:t>
            </w:r>
            <w:r>
              <w:rPr>
                <w:noProof/>
                <w:webHidden/>
              </w:rPr>
              <w:fldChar w:fldCharType="end"/>
            </w:r>
          </w:hyperlink>
        </w:p>
        <w:p w14:paraId="6DABAFB6" w14:textId="209BD774" w:rsidR="0076289F" w:rsidRDefault="0076289F">
          <w:pPr>
            <w:pStyle w:val="INNH1"/>
            <w:tabs>
              <w:tab w:val="left" w:pos="440"/>
              <w:tab w:val="right" w:leader="dot" w:pos="9062"/>
            </w:tabs>
            <w:rPr>
              <w:rFonts w:asciiTheme="minorHAnsi" w:hAnsiTheme="minorHAnsi"/>
              <w:noProof/>
            </w:rPr>
          </w:pPr>
          <w:hyperlink w:anchor="_Toc85029692" w:history="1">
            <w:r w:rsidRPr="00711BE6">
              <w:rPr>
                <w:rStyle w:val="Hyperkobling"/>
                <w:noProof/>
              </w:rPr>
              <w:t>5.</w:t>
            </w:r>
            <w:r>
              <w:rPr>
                <w:rFonts w:asciiTheme="minorHAnsi" w:hAnsiTheme="minorHAnsi"/>
                <w:noProof/>
              </w:rPr>
              <w:tab/>
            </w:r>
            <w:r w:rsidRPr="00711BE6">
              <w:rPr>
                <w:rStyle w:val="Hyperkobling"/>
                <w:noProof/>
              </w:rPr>
              <w:t>Statsforvalterens anbefalinger</w:t>
            </w:r>
            <w:r>
              <w:rPr>
                <w:noProof/>
                <w:webHidden/>
              </w:rPr>
              <w:tab/>
            </w:r>
            <w:r>
              <w:rPr>
                <w:noProof/>
                <w:webHidden/>
              </w:rPr>
              <w:fldChar w:fldCharType="begin"/>
            </w:r>
            <w:r>
              <w:rPr>
                <w:noProof/>
                <w:webHidden/>
              </w:rPr>
              <w:instrText xml:space="preserve"> PAGEREF _Toc85029692 \h </w:instrText>
            </w:r>
            <w:r>
              <w:rPr>
                <w:noProof/>
                <w:webHidden/>
              </w:rPr>
            </w:r>
            <w:r>
              <w:rPr>
                <w:noProof/>
                <w:webHidden/>
              </w:rPr>
              <w:fldChar w:fldCharType="separate"/>
            </w:r>
            <w:r>
              <w:rPr>
                <w:noProof/>
                <w:webHidden/>
              </w:rPr>
              <w:t>15</w:t>
            </w:r>
            <w:r>
              <w:rPr>
                <w:noProof/>
                <w:webHidden/>
              </w:rPr>
              <w:fldChar w:fldCharType="end"/>
            </w:r>
          </w:hyperlink>
        </w:p>
        <w:p w14:paraId="6E80CED4" w14:textId="22BAE7F6" w:rsidR="0076289F" w:rsidRDefault="0076289F">
          <w:pPr>
            <w:pStyle w:val="INNH1"/>
            <w:tabs>
              <w:tab w:val="left" w:pos="440"/>
              <w:tab w:val="right" w:leader="dot" w:pos="9062"/>
            </w:tabs>
            <w:rPr>
              <w:rFonts w:asciiTheme="minorHAnsi" w:hAnsiTheme="minorHAnsi"/>
              <w:noProof/>
            </w:rPr>
          </w:pPr>
          <w:hyperlink w:anchor="_Toc85029693" w:history="1">
            <w:r w:rsidRPr="00711BE6">
              <w:rPr>
                <w:rStyle w:val="Hyperkobling"/>
                <w:noProof/>
              </w:rPr>
              <w:t>6.</w:t>
            </w:r>
            <w:r>
              <w:rPr>
                <w:rFonts w:asciiTheme="minorHAnsi" w:hAnsiTheme="minorHAnsi"/>
                <w:noProof/>
              </w:rPr>
              <w:tab/>
            </w:r>
            <w:r w:rsidRPr="00711BE6">
              <w:rPr>
                <w:rStyle w:val="Hyperkobling"/>
                <w:noProof/>
              </w:rPr>
              <w:t>Vedlegg</w:t>
            </w:r>
            <w:r>
              <w:rPr>
                <w:noProof/>
                <w:webHidden/>
              </w:rPr>
              <w:tab/>
            </w:r>
            <w:r>
              <w:rPr>
                <w:noProof/>
                <w:webHidden/>
              </w:rPr>
              <w:fldChar w:fldCharType="begin"/>
            </w:r>
            <w:r>
              <w:rPr>
                <w:noProof/>
                <w:webHidden/>
              </w:rPr>
              <w:instrText xml:space="preserve"> PAGEREF _Toc85029693 \h </w:instrText>
            </w:r>
            <w:r>
              <w:rPr>
                <w:noProof/>
                <w:webHidden/>
              </w:rPr>
            </w:r>
            <w:r>
              <w:rPr>
                <w:noProof/>
                <w:webHidden/>
              </w:rPr>
              <w:fldChar w:fldCharType="separate"/>
            </w:r>
            <w:r>
              <w:rPr>
                <w:noProof/>
                <w:webHidden/>
              </w:rPr>
              <w:t>16</w:t>
            </w:r>
            <w:r>
              <w:rPr>
                <w:noProof/>
                <w:webHidden/>
              </w:rPr>
              <w:fldChar w:fldCharType="end"/>
            </w:r>
          </w:hyperlink>
        </w:p>
        <w:p w14:paraId="5D60458E" w14:textId="5E8B82A4" w:rsidR="009B29D7" w:rsidRDefault="009B29D7">
          <w:r>
            <w:rPr>
              <w:b/>
              <w:bCs/>
            </w:rPr>
            <w:fldChar w:fldCharType="end"/>
          </w:r>
        </w:p>
      </w:sdtContent>
    </w:sdt>
    <w:p w14:paraId="1A1ED7A3" w14:textId="77777777" w:rsidR="009B29D7" w:rsidRDefault="009B29D7">
      <w:pPr>
        <w:rPr>
          <w:rFonts w:ascii="Open Sans SemiBold" w:hAnsi="Open Sans SemiBold" w:cs="Arial"/>
          <w:bCs/>
          <w:color w:val="808080" w:themeColor="background1" w:themeShade="80"/>
          <w:sz w:val="40"/>
          <w:szCs w:val="40"/>
        </w:rPr>
      </w:pPr>
      <w:r>
        <w:rPr>
          <w:color w:val="808080" w:themeColor="background1" w:themeShade="80"/>
        </w:rPr>
        <w:br w:type="page"/>
      </w:r>
    </w:p>
    <w:p w14:paraId="6CB0B66F" w14:textId="5FD8C588" w:rsidR="009B29D7" w:rsidRDefault="009B29D7" w:rsidP="00AE712D">
      <w:pPr>
        <w:pStyle w:val="Overskrift1"/>
        <w:numPr>
          <w:ilvl w:val="0"/>
          <w:numId w:val="2"/>
        </w:numPr>
        <w:spacing w:after="240"/>
      </w:pPr>
      <w:r>
        <w:rPr>
          <w:color w:val="808080" w:themeColor="background1" w:themeShade="80"/>
        </w:rPr>
        <w:lastRenderedPageBreak/>
        <w:t xml:space="preserve"> </w:t>
      </w:r>
      <w:bookmarkStart w:id="1" w:name="_Toc85029679"/>
      <w:r>
        <w:t>Innledning</w:t>
      </w:r>
      <w:bookmarkEnd w:id="1"/>
    </w:p>
    <w:p w14:paraId="2E48DE78" w14:textId="1CDB730E" w:rsidR="009B29D7" w:rsidRPr="0076289F" w:rsidRDefault="009B29D7" w:rsidP="009B29D7">
      <w:pPr>
        <w:spacing w:after="0"/>
        <w:rPr>
          <w:rFonts w:eastAsia="Calibri" w:cs="Open Sans"/>
        </w:rPr>
      </w:pPr>
      <w:r w:rsidRPr="0076289F">
        <w:rPr>
          <w:rFonts w:eastAsia="Calibri" w:cs="Open Sans"/>
        </w:rPr>
        <w:t xml:space="preserve">Statsforvalteren i Oslo og Viken vil i dette brevet kort gå igjennom regjeringens forslag til statsbudsjett for 2022 og de føringer dette legger for kommunenes rammebetingelser. </w:t>
      </w:r>
    </w:p>
    <w:p w14:paraId="3C8B76DD" w14:textId="77777777" w:rsidR="009B29D7" w:rsidRPr="0076289F" w:rsidRDefault="009B29D7" w:rsidP="009B29D7">
      <w:pPr>
        <w:spacing w:after="0"/>
        <w:rPr>
          <w:rFonts w:eastAsia="Calibri" w:cs="Open Sans"/>
        </w:rPr>
      </w:pPr>
    </w:p>
    <w:p w14:paraId="4D5BCAE2" w14:textId="48849ED8" w:rsidR="009B29D7" w:rsidRPr="0076289F" w:rsidRDefault="009B29D7" w:rsidP="009B29D7">
      <w:pPr>
        <w:spacing w:after="0"/>
        <w:rPr>
          <w:rFonts w:eastAsia="Calibri" w:cs="Open Sans"/>
        </w:rPr>
      </w:pPr>
      <w:r w:rsidRPr="0076289F">
        <w:rPr>
          <w:rFonts w:eastAsia="Calibri" w:cs="Open Sans"/>
        </w:rPr>
        <w:t xml:space="preserve">Vi gjør oppmerksom på at vi ikke tar sikte på å være uttømmende i forhold til det økonomiske opplegget regjeringen legger opp til i forhold til kommunesektoren. Det </w:t>
      </w:r>
      <w:proofErr w:type="gramStart"/>
      <w:r w:rsidRPr="0076289F">
        <w:rPr>
          <w:rFonts w:eastAsia="Calibri" w:cs="Open Sans"/>
        </w:rPr>
        <w:t>fokuseres</w:t>
      </w:r>
      <w:proofErr w:type="gramEnd"/>
      <w:r w:rsidRPr="0076289F">
        <w:rPr>
          <w:rFonts w:eastAsia="Calibri" w:cs="Open Sans"/>
        </w:rPr>
        <w:t xml:space="preserve"> på de elementer som antas å være av særlig interesse i forhold til den pågående budsjettprosessen i kommunene.</w:t>
      </w:r>
    </w:p>
    <w:p w14:paraId="22CEB2B1" w14:textId="762DB977" w:rsidR="001E25B4" w:rsidRPr="0076289F" w:rsidRDefault="001E25B4" w:rsidP="009B29D7">
      <w:pPr>
        <w:spacing w:after="0"/>
        <w:rPr>
          <w:rFonts w:eastAsia="Calibri" w:cs="Open Sans"/>
        </w:rPr>
      </w:pPr>
    </w:p>
    <w:p w14:paraId="41F0B2AF" w14:textId="77777777" w:rsidR="0076289F" w:rsidRPr="0076289F" w:rsidRDefault="007E22E3" w:rsidP="0076289F">
      <w:pPr>
        <w:spacing w:after="0"/>
        <w:rPr>
          <w:rFonts w:eastAsia="Calibri" w:cs="Open Sans"/>
        </w:rPr>
      </w:pPr>
      <w:r w:rsidRPr="0076289F">
        <w:rPr>
          <w:rFonts w:eastAsia="Calibri" w:cs="Open Sans"/>
        </w:rPr>
        <w:t xml:space="preserve">I år må det, på grunn av valget, </w:t>
      </w:r>
      <w:proofErr w:type="gramStart"/>
      <w:r w:rsidRPr="0076289F">
        <w:rPr>
          <w:rFonts w:eastAsia="Calibri" w:cs="Open Sans"/>
        </w:rPr>
        <w:t>påregnes</w:t>
      </w:r>
      <w:proofErr w:type="gramEnd"/>
      <w:r w:rsidRPr="0076289F">
        <w:rPr>
          <w:rFonts w:eastAsia="Calibri" w:cs="Open Sans"/>
        </w:rPr>
        <w:t xml:space="preserve"> større endringer enn normalt mellom forslaget og endelig vedtatt budsjett. </w:t>
      </w:r>
    </w:p>
    <w:p w14:paraId="0E8EA5C6" w14:textId="77777777" w:rsidR="0076289F" w:rsidRPr="0076289F" w:rsidRDefault="0076289F" w:rsidP="0076289F">
      <w:pPr>
        <w:spacing w:after="0"/>
        <w:rPr>
          <w:rFonts w:eastAsia="Calibri" w:cs="Open Sans"/>
        </w:rPr>
      </w:pPr>
    </w:p>
    <w:p w14:paraId="29423885" w14:textId="3C73F293" w:rsidR="0076289F" w:rsidRPr="0076289F" w:rsidRDefault="0076289F" w:rsidP="0076289F">
      <w:pPr>
        <w:spacing w:after="0"/>
        <w:rPr>
          <w:rFonts w:cs="Open Sans"/>
        </w:rPr>
      </w:pPr>
      <w:r w:rsidRPr="0076289F">
        <w:rPr>
          <w:rFonts w:cs="Open Sans"/>
        </w:rPr>
        <w:t xml:space="preserve">Den nye regjeringen vil legge fram en tilleggsproposisjon </w:t>
      </w:r>
      <w:r w:rsidRPr="0076289F">
        <w:rPr>
          <w:rFonts w:cs="Open Sans"/>
        </w:rPr>
        <w:t>senest 10. november</w:t>
      </w:r>
      <w:r w:rsidRPr="0076289F">
        <w:rPr>
          <w:rFonts w:cs="Open Sans"/>
        </w:rPr>
        <w:t xml:space="preserve">. Stortinget fatter vedtak om endelig budsjett </w:t>
      </w:r>
      <w:r w:rsidRPr="0076289F">
        <w:rPr>
          <w:rFonts w:cs="Open Sans"/>
        </w:rPr>
        <w:t>senest 15. desember.</w:t>
      </w:r>
    </w:p>
    <w:p w14:paraId="03DE89A8" w14:textId="77777777" w:rsidR="009B29D7" w:rsidRPr="009B29D7" w:rsidRDefault="009B29D7" w:rsidP="009B29D7">
      <w:pPr>
        <w:spacing w:after="0"/>
        <w:rPr>
          <w:rFonts w:eastAsia="Calibri"/>
          <w:color w:val="000000" w:themeColor="text1"/>
        </w:rPr>
      </w:pPr>
    </w:p>
    <w:p w14:paraId="38331635" w14:textId="54D4E337" w:rsidR="00FF25B9" w:rsidRDefault="009B29D7" w:rsidP="00AE712D">
      <w:pPr>
        <w:pStyle w:val="Overskrift1"/>
        <w:numPr>
          <w:ilvl w:val="0"/>
          <w:numId w:val="2"/>
        </w:numPr>
        <w:spacing w:after="240"/>
        <w:rPr>
          <w:sz w:val="38"/>
          <w:szCs w:val="38"/>
        </w:rPr>
      </w:pPr>
      <w:r>
        <w:rPr>
          <w:sz w:val="38"/>
          <w:szCs w:val="38"/>
        </w:rPr>
        <w:t xml:space="preserve"> </w:t>
      </w:r>
      <w:bookmarkStart w:id="2" w:name="_Toc85029680"/>
      <w:r>
        <w:rPr>
          <w:sz w:val="38"/>
          <w:szCs w:val="38"/>
        </w:rPr>
        <w:t>Endringer i det økonomiske opplegget for kommunesektoren 2021</w:t>
      </w:r>
      <w:bookmarkEnd w:id="2"/>
    </w:p>
    <w:p w14:paraId="31FB03C4" w14:textId="15AEDF1E" w:rsidR="009366E1" w:rsidRPr="009366E1" w:rsidRDefault="009366E1" w:rsidP="0076289F">
      <w:pPr>
        <w:pStyle w:val="Overskrift2"/>
        <w:numPr>
          <w:ilvl w:val="1"/>
          <w:numId w:val="2"/>
        </w:numPr>
      </w:pPr>
      <w:bookmarkStart w:id="3" w:name="_Toc85029681"/>
      <w:r>
        <w:t>Kommunesektorens inntekter i 2021</w:t>
      </w:r>
      <w:bookmarkEnd w:id="3"/>
    </w:p>
    <w:p w14:paraId="3FBEC62D" w14:textId="77777777" w:rsidR="00FA619F" w:rsidRDefault="00FA619F" w:rsidP="00AE712D">
      <w:pPr>
        <w:spacing w:after="0"/>
      </w:pPr>
      <w:r>
        <w:t xml:space="preserve">I Meld. St. 2 (2020–2021) Revidert nasjonalbudsjett 2021 ble realveksten i kommunesektorens samlede og frie inntekter i 2021 anslått til henholdsvis 9,0 og 5,9 mrd. kroner. Bevilgninger begrunnet i koronapandemien var ikke medregnet. Realveksten i kommunesektorens samlede og frie inntekter i 2021 anslås nå til henholdsvis 11,4 og 9,4 mrd. kroner. Inntektsveksten er vesentlig høyere enn lagt opp til i statsbudsjettet for 2021. Årsaken er dels en betydelig økning i skatteinntekter i 2021. Videre ble skatteinntektene og bruken av øremerkede tilskudd i 2020 lavere enn tidligere anslått. Dette bidrar til å trekke opp inntektsveksten fra 2020 til 2021. </w:t>
      </w:r>
    </w:p>
    <w:p w14:paraId="37D0197A" w14:textId="77777777" w:rsidR="00AE712D" w:rsidRDefault="00AE712D" w:rsidP="00AE712D">
      <w:pPr>
        <w:spacing w:after="0"/>
      </w:pPr>
    </w:p>
    <w:p w14:paraId="4DDBE257" w14:textId="4BF375B1" w:rsidR="009366E1" w:rsidRPr="009366E1" w:rsidRDefault="00FA619F" w:rsidP="00AE712D">
      <w:pPr>
        <w:spacing w:after="0"/>
      </w:pPr>
      <w:r>
        <w:t>Kommunesektorens skatteinntekter i 2021 ser nå ut til å bli 5,9 mrd. kroner</w:t>
      </w:r>
      <w:r w:rsidR="009366E1">
        <w:t>, herav kommunenes andel 5,0 mrd. kroner, h</w:t>
      </w:r>
      <w:r>
        <w:t xml:space="preserve">øyere enn lagt til grunn i revidert nasjonalbudsjett, noe som i hovedsak skyldes høyere lønns- og sysselsettingsvekst i 2021 og høyere mottatte utbytter i 2020 enn tidligere anslått. </w:t>
      </w:r>
      <w:r w:rsidR="009366E1" w:rsidRPr="00034BF0">
        <w:t>Dette er</w:t>
      </w:r>
      <w:r w:rsidR="007B0996">
        <w:t xml:space="preserve"> en betydelig </w:t>
      </w:r>
      <w:r w:rsidR="009366E1" w:rsidRPr="00034BF0">
        <w:t>engangsinntekt</w:t>
      </w:r>
      <w:r w:rsidR="003833B3">
        <w:t>, som kommer på slutten av</w:t>
      </w:r>
      <w:r w:rsidR="003007B4">
        <w:t xml:space="preserve"> året og i de fleste tilfeller ikke være innarbeidet i kommunenes budsjetter</w:t>
      </w:r>
      <w:r w:rsidR="003833B3">
        <w:t xml:space="preserve">. </w:t>
      </w:r>
      <w:r w:rsidR="007B0996">
        <w:t>D</w:t>
      </w:r>
      <w:r w:rsidR="003433F4">
        <w:t>riftsresultat</w:t>
      </w:r>
      <w:r w:rsidR="007B0996">
        <w:t xml:space="preserve">ene for 2021 </w:t>
      </w:r>
      <w:r w:rsidR="003007B4">
        <w:t xml:space="preserve">vil </w:t>
      </w:r>
      <w:r w:rsidR="007B0996">
        <w:t>bli påvirket av denne veksten.</w:t>
      </w:r>
      <w:r w:rsidR="003433F4">
        <w:t xml:space="preserve"> </w:t>
      </w:r>
    </w:p>
    <w:p w14:paraId="31BF80A0" w14:textId="77777777" w:rsidR="00AE712D" w:rsidRDefault="00AE712D" w:rsidP="00AE712D">
      <w:pPr>
        <w:spacing w:after="0"/>
      </w:pPr>
    </w:p>
    <w:p w14:paraId="0F34EF9D" w14:textId="17CB6570" w:rsidR="009B29D7" w:rsidRDefault="00FA619F" w:rsidP="00AE712D">
      <w:pPr>
        <w:spacing w:after="0"/>
      </w:pPr>
      <w:r>
        <w:t xml:space="preserve">Samtidig er </w:t>
      </w:r>
      <w:r w:rsidR="002063A6">
        <w:t xml:space="preserve">også </w:t>
      </w:r>
      <w:r>
        <w:t xml:space="preserve">pris- og kostnadsveksten for 2021 oppjustert fra 2,7 pst. til 3,3 pst. Økningen i kostnadsveksten skyldes dels økt lønnsvekstanslag, dels en økning i </w:t>
      </w:r>
      <w:r>
        <w:lastRenderedPageBreak/>
        <w:t>byggekostnadene og en kraftig økning i elprisene hittil i år. Oppjusteringen av kostnadsveksten trekker isolert sett inntektsveksten i 2021 ned med 2,4 mrd. kroner.</w:t>
      </w:r>
    </w:p>
    <w:p w14:paraId="50A95937" w14:textId="0BD06195" w:rsidR="008D504E" w:rsidRDefault="008D504E" w:rsidP="00AE712D">
      <w:pPr>
        <w:spacing w:after="0"/>
      </w:pPr>
    </w:p>
    <w:p w14:paraId="0FDF9475" w14:textId="050D0B56" w:rsidR="009366E1" w:rsidRDefault="009366E1" w:rsidP="0076289F">
      <w:pPr>
        <w:pStyle w:val="Overskrift2"/>
        <w:numPr>
          <w:ilvl w:val="1"/>
          <w:numId w:val="2"/>
        </w:numPr>
      </w:pPr>
      <w:bookmarkStart w:id="4" w:name="_Toc85029682"/>
      <w:r>
        <w:t>Koronapandemien</w:t>
      </w:r>
      <w:bookmarkEnd w:id="4"/>
    </w:p>
    <w:p w14:paraId="15140995" w14:textId="32B0A4BA" w:rsidR="007E7CF2" w:rsidRDefault="007E7CF2" w:rsidP="00AE712D">
      <w:pPr>
        <w:spacing w:after="0"/>
      </w:pPr>
      <w:r w:rsidRPr="007E7CF2">
        <w:t>Regjeringen har vært tydelig på at kommunesektoren skal kompenseres for økte utgifter og tapte inntekter knyttet til pandemien</w:t>
      </w:r>
      <w:r>
        <w:t>.</w:t>
      </w:r>
    </w:p>
    <w:p w14:paraId="3DAC3DF9" w14:textId="77777777" w:rsidR="00AE712D" w:rsidRDefault="00AE712D" w:rsidP="00AE712D">
      <w:pPr>
        <w:spacing w:after="0"/>
      </w:pPr>
    </w:p>
    <w:p w14:paraId="362036AC" w14:textId="3EB915A1" w:rsidR="007E7CF2" w:rsidRDefault="007E7CF2" w:rsidP="00AE712D">
      <w:pPr>
        <w:spacing w:after="0"/>
      </w:pPr>
      <w:r>
        <w:t xml:space="preserve">På makronivå er både </w:t>
      </w:r>
      <w:r w:rsidRPr="007E7CF2">
        <w:t>Staten og KS enig</w:t>
      </w:r>
      <w:r>
        <w:t>e</w:t>
      </w:r>
      <w:r w:rsidRPr="007E7CF2">
        <w:t xml:space="preserve"> om </w:t>
      </w:r>
      <w:r>
        <w:t xml:space="preserve">at det er </w:t>
      </w:r>
      <w:r w:rsidRPr="007E7CF2">
        <w:t xml:space="preserve">godt samsvar mellom økonomiske konsekvenser og kompenserende tiltak for kommunesektoren i 2020 og </w:t>
      </w:r>
      <w:r>
        <w:t xml:space="preserve">    </w:t>
      </w:r>
      <w:r w:rsidRPr="007E7CF2">
        <w:t>1. halvår 2021</w:t>
      </w:r>
      <w:r>
        <w:t xml:space="preserve">. </w:t>
      </w:r>
    </w:p>
    <w:p w14:paraId="08F1A3D8" w14:textId="77777777" w:rsidR="00AE712D" w:rsidRDefault="00AE712D" w:rsidP="00AE712D">
      <w:pPr>
        <w:spacing w:after="0"/>
      </w:pPr>
    </w:p>
    <w:p w14:paraId="223425FD" w14:textId="7C13DA3A" w:rsidR="007E7CF2" w:rsidRDefault="007E7CF2" w:rsidP="00AE712D">
      <w:pPr>
        <w:spacing w:after="0"/>
      </w:pPr>
      <w:r w:rsidRPr="007E7CF2">
        <w:t xml:space="preserve">Enkelte kommuner har </w:t>
      </w:r>
      <w:r>
        <w:t xml:space="preserve">imidlertid </w:t>
      </w:r>
      <w:r w:rsidRPr="007E7CF2">
        <w:t>hatt større utfordringer i håndteringen av pandemien. Derfor har regjeringen hatt et tett samarbeid med statsforvalterne for å ivareta disse kommunene</w:t>
      </w:r>
      <w:r w:rsidR="002063A6">
        <w:t xml:space="preserve">. En betydelig del av tilleggsbevilgningene har bitt gitt som skjønnsmidler på bakgrunn av kommunenes rapporterte netto merutgifter. </w:t>
      </w:r>
    </w:p>
    <w:p w14:paraId="31577269" w14:textId="77777777" w:rsidR="00AE712D" w:rsidRPr="007E7CF2" w:rsidRDefault="00AE712D" w:rsidP="00AE712D">
      <w:pPr>
        <w:spacing w:after="0"/>
      </w:pPr>
    </w:p>
    <w:p w14:paraId="3160CB1E" w14:textId="02CCE47D" w:rsidR="007E7CF2" w:rsidRDefault="007E7CF2" w:rsidP="00AE712D">
      <w:pPr>
        <w:spacing w:after="0"/>
      </w:pPr>
      <w:r>
        <w:t>I 2021 er det totalt gitt 22 mrd. kroner i tilleggsbevilgninger til kommunesektoren begrunnet med koronapandemien, herav 16 mrd. kroner for å kompensere for merutgifter og mindreinntekter. I tillegg er det også bevilget et særskilt og varig tillegg på 1,9 mrd. kroner i 2021-budsjettet, slik at den midlertidige skattesvikten i 2020 ikke skulle få varig virkning på inntektsnivået fremover. Det varige tillegget på 1,9 mrd. kroner inngår i beregningen av veksten i samlede og frie inntekter, mens de andre bevilgningene er midlertidige og holdes utenom.</w:t>
      </w:r>
    </w:p>
    <w:p w14:paraId="096647AF" w14:textId="77777777" w:rsidR="00AE712D" w:rsidRDefault="00AE712D" w:rsidP="00AE712D">
      <w:pPr>
        <w:spacing w:after="0"/>
      </w:pPr>
    </w:p>
    <w:p w14:paraId="7F03B924" w14:textId="33D8C7DD" w:rsidR="007E7CF2" w:rsidRDefault="007E7CF2" w:rsidP="00AE712D">
      <w:pPr>
        <w:spacing w:after="0"/>
      </w:pPr>
      <w:r>
        <w:t>Regjeringen vil komme tilbake med en ny vurdering av merutgifter og mindreinntekter i kommunesektoren i 2021 i revidert nasjonalbudsjett for 2022.</w:t>
      </w:r>
    </w:p>
    <w:p w14:paraId="1E78381A" w14:textId="77777777" w:rsidR="007E7CF2" w:rsidRPr="007E7CF2" w:rsidRDefault="007E7CF2" w:rsidP="00AE712D">
      <w:pPr>
        <w:spacing w:after="0"/>
      </w:pPr>
    </w:p>
    <w:p w14:paraId="42CBA399" w14:textId="246B7B7E" w:rsidR="00B07477" w:rsidRDefault="009B29D7" w:rsidP="00AE712D">
      <w:pPr>
        <w:pStyle w:val="Overskrift1"/>
        <w:numPr>
          <w:ilvl w:val="0"/>
          <w:numId w:val="2"/>
        </w:numPr>
        <w:spacing w:after="240"/>
      </w:pPr>
      <w:r>
        <w:t xml:space="preserve"> </w:t>
      </w:r>
      <w:bookmarkStart w:id="5" w:name="_Toc85029683"/>
      <w:r>
        <w:t>Det økonomiske opplegget for kommunesektoren i 2022</w:t>
      </w:r>
      <w:bookmarkEnd w:id="5"/>
    </w:p>
    <w:p w14:paraId="33AAD890" w14:textId="66D2F0C8" w:rsidR="009B5062" w:rsidRDefault="009B5062" w:rsidP="00AE712D">
      <w:pPr>
        <w:spacing w:after="0"/>
      </w:pPr>
      <w:r>
        <w:t xml:space="preserve">I kommuneproposisjonen for 2022 la regjeringen opp til en realvekst i kommunesektorens samlede inntekter på mellom 1,7 og 2,6 mrd. kroner. Det ble varslet en realvekst i kommunesektorens frie inntekter på mellom 2,0 og 2,4 mrd. kroner. Videre ble det varslet at veksten i frie inntekter ville bli fordelt med 0,4 mrd. kroner til fylkeskommunene og mellom 1,6 og 2,0 mrd. kroner til kommunene. </w:t>
      </w:r>
    </w:p>
    <w:p w14:paraId="456C0BB6" w14:textId="77777777" w:rsidR="00AE712D" w:rsidRDefault="00AE712D" w:rsidP="00AE712D">
      <w:pPr>
        <w:spacing w:after="0"/>
      </w:pPr>
    </w:p>
    <w:p w14:paraId="4A6D5688" w14:textId="20A7DFC1" w:rsidR="007E7CF2" w:rsidRDefault="009B5062" w:rsidP="00AE712D">
      <w:pPr>
        <w:spacing w:after="0"/>
      </w:pPr>
      <w:r>
        <w:t xml:space="preserve">Regjeringen legger nå opp til en realvekst i sektorens samlede inntekter i 2022 på 3,8 mrd. kroner. Dette tilsvarer en realvekst på 0,7 pst. Inntektsveksten er regnet fra inntektsnivået i 2021 slik det ble anslått etter stortingsbehandlingen av revidert </w:t>
      </w:r>
      <w:r>
        <w:lastRenderedPageBreak/>
        <w:t>nasjonalbudsjett for 2021, korrigert for bevilgninger begrunnet i koronapandemien. Ved beregning av realvekst i kommunesektorens inntekter er det lagt til grunn en pris- og kostnadsvekst på 2,5 pst.</w:t>
      </w:r>
    </w:p>
    <w:p w14:paraId="633FAC2E" w14:textId="77777777" w:rsidR="002063A6" w:rsidRDefault="002063A6" w:rsidP="0076289F"/>
    <w:p w14:paraId="24B90E76" w14:textId="2318FFC5" w:rsidR="00D820C6" w:rsidRDefault="00D820C6" w:rsidP="0076289F">
      <w:pPr>
        <w:pStyle w:val="Overskrift2"/>
        <w:numPr>
          <w:ilvl w:val="1"/>
          <w:numId w:val="2"/>
        </w:numPr>
        <w:spacing w:after="200"/>
      </w:pPr>
      <w:bookmarkStart w:id="6" w:name="_Toc85029684"/>
      <w:r>
        <w:t>Frie inntekter</w:t>
      </w:r>
      <w:bookmarkEnd w:id="6"/>
    </w:p>
    <w:p w14:paraId="7FE17E5B" w14:textId="05CDCAF2" w:rsidR="009B5062" w:rsidRDefault="009B5062" w:rsidP="00AE712D">
      <w:pPr>
        <w:spacing w:after="0"/>
      </w:pPr>
      <w:r w:rsidRPr="009B5062">
        <w:t>For å sette kommunene i stand til å levere gode tjenester både under og etter koronakrisen, foreslår regjeringen at kommunesektoren får en vekst i frie inntekter på 2 milliarder kroner i 2022.</w:t>
      </w:r>
    </w:p>
    <w:p w14:paraId="42EF62AE" w14:textId="77777777" w:rsidR="009B5062" w:rsidRPr="009B5062" w:rsidRDefault="009B5062" w:rsidP="00AE712D">
      <w:pPr>
        <w:spacing w:after="0"/>
      </w:pPr>
    </w:p>
    <w:p w14:paraId="08B96691" w14:textId="4C60F871" w:rsidR="009B5062" w:rsidRDefault="009B5062" w:rsidP="00AE712D">
      <w:pPr>
        <w:spacing w:after="0"/>
      </w:pPr>
      <w:r w:rsidRPr="009B5062">
        <w:t>Veksten er i tråd med det som ble varslet i kommuneproposisjonen.</w:t>
      </w:r>
    </w:p>
    <w:p w14:paraId="3F27EE3A" w14:textId="77777777" w:rsidR="009B5062" w:rsidRPr="009B5062" w:rsidRDefault="009B5062" w:rsidP="00AE712D">
      <w:pPr>
        <w:spacing w:after="0"/>
      </w:pPr>
    </w:p>
    <w:p w14:paraId="4BA085BE" w14:textId="04230FCB" w:rsidR="009B5062" w:rsidRDefault="009B5062" w:rsidP="00AE712D">
      <w:pPr>
        <w:spacing w:after="0"/>
      </w:pPr>
      <w:r w:rsidRPr="009B5062">
        <w:t>Av veksten på 2 mrd. kroner får kommunene en vekst i frie inntekter på 1,6 milliarder kroner, mens fylkeskommunene får en vekst på 0,4 milliarder kroner.</w:t>
      </w:r>
    </w:p>
    <w:p w14:paraId="50219EBC" w14:textId="77777777" w:rsidR="009B5062" w:rsidRPr="009B5062" w:rsidRDefault="009B5062" w:rsidP="00AE712D">
      <w:pPr>
        <w:spacing w:after="0"/>
      </w:pPr>
    </w:p>
    <w:p w14:paraId="6837A549" w14:textId="532E8482" w:rsidR="009B5062" w:rsidRDefault="009B5062" w:rsidP="00AE712D">
      <w:pPr>
        <w:spacing w:after="0"/>
      </w:pPr>
      <w:r w:rsidRPr="009B5062">
        <w:t xml:space="preserve">Av veksten til kommunene begrunnes 100 mill. kroner med å legge til rette for flere barnehagelærere i grunnbemanningen og må ses i lys av ambisjonen om at 50 pst. av de ansatte i barnehagen skal være barnehagelærere innen 2025. </w:t>
      </w:r>
    </w:p>
    <w:p w14:paraId="3A9E5EF2" w14:textId="77777777" w:rsidR="009B5062" w:rsidRPr="009B5062" w:rsidRDefault="009B5062" w:rsidP="00AE712D">
      <w:pPr>
        <w:spacing w:after="0"/>
      </w:pPr>
    </w:p>
    <w:p w14:paraId="39CCC480" w14:textId="4F22F22F" w:rsidR="009B5062" w:rsidRDefault="009B5062" w:rsidP="00AE712D">
      <w:pPr>
        <w:spacing w:after="0"/>
      </w:pPr>
      <w:r w:rsidRPr="009B5062">
        <w:t>Videre begrunnes 100 mill. kroner av veksten med tiltak for barn og unges psykiske helse, herunder psykisk helse i videregående skole og lavterskeltilbud i kommunene. Av dette knyttes 75 mill. kroner til kommunene og 25 mill. kroner til fylkeskommunene. Se nærmere omtale i Prop. 1 S (2021–2022) for henholdsvis Kunnskapsdepartementet og Helse- og omsorgsdepartementet.</w:t>
      </w:r>
    </w:p>
    <w:p w14:paraId="0AB1C70D" w14:textId="77777777" w:rsidR="009B5062" w:rsidRPr="009B5062" w:rsidRDefault="009B5062" w:rsidP="00AE712D">
      <w:pPr>
        <w:spacing w:after="0"/>
      </w:pPr>
    </w:p>
    <w:p w14:paraId="11190003" w14:textId="757EBF37" w:rsidR="00D820C6" w:rsidRDefault="009B5062" w:rsidP="00AE712D">
      <w:pPr>
        <w:spacing w:after="0"/>
      </w:pPr>
      <w:r>
        <w:t xml:space="preserve">Veksten i frie inntekter må ses i sammenheng med kommunesektorens anslåtte merutgifter som følge av befolkningsutviklingen og merutgifter knyttet til pensjon. </w:t>
      </w:r>
    </w:p>
    <w:p w14:paraId="1A7A9C8A" w14:textId="77777777" w:rsidR="00AE712D" w:rsidRDefault="00AE712D" w:rsidP="00AE712D">
      <w:pPr>
        <w:spacing w:after="0"/>
      </w:pPr>
    </w:p>
    <w:p w14:paraId="113D97DE" w14:textId="4985C62F" w:rsidR="00FB7EBB" w:rsidRDefault="00FB7EBB" w:rsidP="00AE712D">
      <w:pPr>
        <w:spacing w:after="0"/>
      </w:pPr>
      <w:r>
        <w:t xml:space="preserve">Demografiutgiftene for kommunesektoren i 2022 ble i kommuneproposisjonen for 2022 beregnet til om lag 1,2 mrd. kroner av TBU. Av dette er 0,9 mrd. kroner knyttet til tjenester som finansieres av de frie inntektene, fordelt på knapt 0,6 mrd. kroner på kommunene. </w:t>
      </w:r>
    </w:p>
    <w:p w14:paraId="2C10D071" w14:textId="77777777" w:rsidR="00AE712D" w:rsidRDefault="00AE712D" w:rsidP="00AE712D">
      <w:pPr>
        <w:spacing w:after="0"/>
      </w:pPr>
    </w:p>
    <w:p w14:paraId="7990771A" w14:textId="6A626623" w:rsidR="00FB7EBB" w:rsidRDefault="00FB7EBB" w:rsidP="00AE712D">
      <w:pPr>
        <w:spacing w:after="0"/>
      </w:pPr>
      <w:r>
        <w:t>Med oppdaterte beregninger anslås det nå en vekst i de samlede pensjonskostnadene på om lag 0,4 mrd. kroner i 2022</w:t>
      </w:r>
      <w:r w:rsidR="008A0C66">
        <w:t>, hvorav kommunenes del utgjør 0,360 mrd. kroner</w:t>
      </w:r>
      <w:r>
        <w:t>. Anslaget er beregnet med utgangspunkt i gjeldende regler for regulering av løpende pensjoner fra 2022. Departementet anslår for sektoren samlet at om lag 23 mrd. kroner blir tilført premiefond i 2021 som følge av frigjøringen av premiereserver. Anslaget for veksten i de samlede pensjonskostnadene er fortsatt beheftet med betydelig usikkerhet.</w:t>
      </w:r>
    </w:p>
    <w:p w14:paraId="5BF53A42" w14:textId="77777777" w:rsidR="00AE712D" w:rsidRDefault="00AE712D" w:rsidP="00AE712D">
      <w:pPr>
        <w:spacing w:after="0"/>
      </w:pPr>
    </w:p>
    <w:p w14:paraId="0DB6734E" w14:textId="2AEF5960" w:rsidR="00FB7EBB" w:rsidRDefault="00FB7EBB" w:rsidP="00D820C6">
      <w:r>
        <w:lastRenderedPageBreak/>
        <w:t>Etter dette anslås kommunesektorens handlingsrom å øke med 0,5 mrd. kroner i 2022</w:t>
      </w:r>
      <w:r w:rsidR="008A0C66">
        <w:t>. For kommunene øker handlingsrommet med 0,465 mrd. kroner</w:t>
      </w:r>
    </w:p>
    <w:p w14:paraId="3B448534" w14:textId="128CB481" w:rsidR="008A0C66" w:rsidRDefault="008A0C66" w:rsidP="00D820C6">
      <w:r>
        <w:rPr>
          <w:noProof/>
        </w:rPr>
        <w:drawing>
          <wp:inline distT="0" distB="0" distL="0" distR="0" wp14:anchorId="23EE08E9" wp14:editId="3BF0B2DD">
            <wp:extent cx="4895850" cy="2001752"/>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526" t="28273" r="27910" b="46762"/>
                    <a:stretch/>
                  </pic:blipFill>
                  <pic:spPr bwMode="auto">
                    <a:xfrm>
                      <a:off x="0" y="0"/>
                      <a:ext cx="4935425" cy="2017933"/>
                    </a:xfrm>
                    <a:prstGeom prst="rect">
                      <a:avLst/>
                    </a:prstGeom>
                    <a:ln>
                      <a:noFill/>
                    </a:ln>
                    <a:extLst>
                      <a:ext uri="{53640926-AAD7-44D8-BBD7-CCE9431645EC}">
                        <a14:shadowObscured xmlns:a14="http://schemas.microsoft.com/office/drawing/2010/main"/>
                      </a:ext>
                    </a:extLst>
                  </pic:spPr>
                </pic:pic>
              </a:graphicData>
            </a:graphic>
          </wp:inline>
        </w:drawing>
      </w:r>
    </w:p>
    <w:p w14:paraId="00D2B751" w14:textId="0936A0AA" w:rsidR="008A0C66" w:rsidRDefault="008A0C66" w:rsidP="003833B3">
      <w:pPr>
        <w:spacing w:after="0"/>
        <w:rPr>
          <w:rFonts w:eastAsia="Calibri"/>
        </w:rPr>
      </w:pPr>
      <w:r w:rsidRPr="00AB6809">
        <w:rPr>
          <w:rFonts w:eastAsia="Calibri"/>
        </w:rPr>
        <w:t>I neste tabell er realveksten i kommunesektorens samlede inntekter i 202</w:t>
      </w:r>
      <w:r>
        <w:rPr>
          <w:rFonts w:eastAsia="Calibri"/>
        </w:rPr>
        <w:t>2</w:t>
      </w:r>
      <w:r w:rsidRPr="00AB6809">
        <w:rPr>
          <w:rFonts w:eastAsia="Calibri"/>
        </w:rPr>
        <w:t xml:space="preserve"> på </w:t>
      </w:r>
      <w:r>
        <w:rPr>
          <w:rFonts w:eastAsia="Calibri"/>
        </w:rPr>
        <w:t>3,8</w:t>
      </w:r>
      <w:r w:rsidRPr="00AB6809">
        <w:rPr>
          <w:rFonts w:eastAsia="Calibri"/>
        </w:rPr>
        <w:t xml:space="preserve"> mrd. kroner dekomponert:</w:t>
      </w:r>
      <w:r>
        <w:rPr>
          <w:rFonts w:eastAsia="Calibri"/>
        </w:rPr>
        <w:t xml:space="preserve"> </w:t>
      </w:r>
    </w:p>
    <w:p w14:paraId="0FBE461E" w14:textId="77777777" w:rsidR="003833B3" w:rsidRDefault="003833B3" w:rsidP="003833B3">
      <w:pPr>
        <w:spacing w:after="0"/>
        <w:rPr>
          <w:rFonts w:eastAsia="Calibri"/>
        </w:rPr>
      </w:pPr>
    </w:p>
    <w:tbl>
      <w:tblPr>
        <w:tblW w:w="7779" w:type="dxa"/>
        <w:tblCellMar>
          <w:left w:w="70" w:type="dxa"/>
          <w:right w:w="70" w:type="dxa"/>
        </w:tblCellMar>
        <w:tblLook w:val="04A0" w:firstRow="1" w:lastRow="0" w:firstColumn="1" w:lastColumn="0" w:noHBand="0" w:noVBand="1"/>
      </w:tblPr>
      <w:tblGrid>
        <w:gridCol w:w="6146"/>
        <w:gridCol w:w="1633"/>
      </w:tblGrid>
      <w:tr w:rsidR="008A0C66" w:rsidRPr="0077739B" w14:paraId="341FEF6E" w14:textId="77777777" w:rsidTr="00D86703">
        <w:trPr>
          <w:trHeight w:val="246"/>
        </w:trPr>
        <w:tc>
          <w:tcPr>
            <w:tcW w:w="6146" w:type="dxa"/>
            <w:tcBorders>
              <w:top w:val="single" w:sz="4" w:space="0" w:color="auto"/>
              <w:left w:val="nil"/>
              <w:bottom w:val="single" w:sz="4" w:space="0" w:color="auto"/>
              <w:right w:val="nil"/>
            </w:tcBorders>
            <w:shd w:val="clear" w:color="auto" w:fill="auto"/>
            <w:noWrap/>
            <w:vAlign w:val="bottom"/>
            <w:hideMark/>
          </w:tcPr>
          <w:p w14:paraId="67772E24" w14:textId="77777777" w:rsidR="008A0C66" w:rsidRPr="00AB6809" w:rsidRDefault="008A0C66" w:rsidP="003833B3">
            <w:pPr>
              <w:spacing w:after="0"/>
              <w:rPr>
                <w:rFonts w:eastAsia="Times New Roman"/>
                <w:color w:val="000000"/>
              </w:rPr>
            </w:pPr>
            <w:r w:rsidRPr="00AB6809">
              <w:rPr>
                <w:rFonts w:eastAsia="Times New Roman"/>
                <w:color w:val="000000"/>
              </w:rPr>
              <w:t> </w:t>
            </w:r>
          </w:p>
        </w:tc>
        <w:tc>
          <w:tcPr>
            <w:tcW w:w="1633" w:type="dxa"/>
            <w:tcBorders>
              <w:top w:val="single" w:sz="4" w:space="0" w:color="auto"/>
              <w:left w:val="nil"/>
              <w:bottom w:val="single" w:sz="4" w:space="0" w:color="auto"/>
              <w:right w:val="nil"/>
            </w:tcBorders>
            <w:shd w:val="clear" w:color="auto" w:fill="auto"/>
            <w:noWrap/>
            <w:vAlign w:val="bottom"/>
            <w:hideMark/>
          </w:tcPr>
          <w:p w14:paraId="62320613" w14:textId="77777777" w:rsidR="008A0C66" w:rsidRPr="00AB6809" w:rsidRDefault="008A0C66" w:rsidP="003833B3">
            <w:pPr>
              <w:spacing w:after="0"/>
              <w:rPr>
                <w:rFonts w:eastAsia="Times New Roman"/>
                <w:color w:val="000000"/>
              </w:rPr>
            </w:pPr>
            <w:r w:rsidRPr="00AB6809">
              <w:rPr>
                <w:rFonts w:eastAsia="Times New Roman"/>
                <w:color w:val="000000"/>
              </w:rPr>
              <w:t>Mrd. kroner</w:t>
            </w:r>
          </w:p>
        </w:tc>
      </w:tr>
      <w:tr w:rsidR="008A0C66" w:rsidRPr="0077739B" w14:paraId="6D68770D" w14:textId="77777777" w:rsidTr="00D86703">
        <w:trPr>
          <w:trHeight w:val="101"/>
        </w:trPr>
        <w:tc>
          <w:tcPr>
            <w:tcW w:w="6146" w:type="dxa"/>
            <w:tcBorders>
              <w:top w:val="nil"/>
              <w:left w:val="nil"/>
              <w:bottom w:val="nil"/>
              <w:right w:val="nil"/>
            </w:tcBorders>
            <w:shd w:val="clear" w:color="auto" w:fill="auto"/>
            <w:noWrap/>
            <w:vAlign w:val="bottom"/>
            <w:hideMark/>
          </w:tcPr>
          <w:p w14:paraId="48311159" w14:textId="77777777" w:rsidR="008A0C66" w:rsidRPr="00AB6809" w:rsidRDefault="008A0C66" w:rsidP="003833B3">
            <w:pPr>
              <w:spacing w:after="0"/>
              <w:rPr>
                <w:rFonts w:eastAsia="Times New Roman"/>
                <w:color w:val="000000"/>
              </w:rPr>
            </w:pPr>
            <w:r w:rsidRPr="00AB6809">
              <w:rPr>
                <w:rFonts w:eastAsia="Times New Roman"/>
                <w:color w:val="000000"/>
              </w:rPr>
              <w:t>Frie inntekter</w:t>
            </w:r>
          </w:p>
        </w:tc>
        <w:tc>
          <w:tcPr>
            <w:tcW w:w="1633" w:type="dxa"/>
            <w:tcBorders>
              <w:top w:val="nil"/>
              <w:left w:val="nil"/>
              <w:bottom w:val="nil"/>
              <w:right w:val="nil"/>
            </w:tcBorders>
            <w:shd w:val="clear" w:color="auto" w:fill="auto"/>
            <w:noWrap/>
            <w:vAlign w:val="bottom"/>
            <w:hideMark/>
          </w:tcPr>
          <w:p w14:paraId="1D735AA0" w14:textId="77777777" w:rsidR="008A0C66" w:rsidRPr="00AB6809" w:rsidRDefault="008A0C66" w:rsidP="003833B3">
            <w:pPr>
              <w:spacing w:after="0"/>
              <w:rPr>
                <w:rFonts w:eastAsia="Times New Roman"/>
                <w:b/>
                <w:color w:val="000000"/>
              </w:rPr>
            </w:pPr>
            <w:r w:rsidRPr="00AB6809">
              <w:rPr>
                <w:rFonts w:eastAsia="Times New Roman"/>
                <w:b/>
                <w:color w:val="000000"/>
              </w:rPr>
              <w:t>2,0</w:t>
            </w:r>
          </w:p>
        </w:tc>
      </w:tr>
      <w:tr w:rsidR="008A0C66" w:rsidRPr="0077739B" w14:paraId="6B4019C7" w14:textId="77777777" w:rsidTr="00D86703">
        <w:trPr>
          <w:trHeight w:val="101"/>
        </w:trPr>
        <w:tc>
          <w:tcPr>
            <w:tcW w:w="6146" w:type="dxa"/>
            <w:tcBorders>
              <w:top w:val="nil"/>
              <w:left w:val="nil"/>
              <w:bottom w:val="nil"/>
              <w:right w:val="nil"/>
            </w:tcBorders>
            <w:shd w:val="clear" w:color="auto" w:fill="auto"/>
            <w:noWrap/>
            <w:vAlign w:val="bottom"/>
            <w:hideMark/>
          </w:tcPr>
          <w:p w14:paraId="2A2F0DF6" w14:textId="0835D960" w:rsidR="008A0C66" w:rsidRPr="00AB6809" w:rsidRDefault="008A0C66" w:rsidP="003833B3">
            <w:pPr>
              <w:spacing w:after="0"/>
              <w:rPr>
                <w:rFonts w:eastAsia="Times New Roman"/>
                <w:color w:val="000000"/>
              </w:rPr>
            </w:pPr>
            <w:r w:rsidRPr="00AB6809">
              <w:rPr>
                <w:rFonts w:eastAsia="Times New Roman"/>
                <w:color w:val="000000"/>
              </w:rPr>
              <w:t>Frie inntekter knyttet til endringer i oppgaver</w:t>
            </w:r>
            <w:r w:rsidRPr="00AB6809">
              <w:rPr>
                <w:rFonts w:eastAsia="Times New Roman"/>
                <w:color w:val="000000"/>
                <w:sz w:val="16"/>
                <w:szCs w:val="16"/>
              </w:rPr>
              <w:t>1</w:t>
            </w:r>
            <w:r>
              <w:rPr>
                <w:rFonts w:eastAsia="Times New Roman"/>
                <w:color w:val="000000"/>
                <w:sz w:val="16"/>
                <w:szCs w:val="16"/>
              </w:rPr>
              <w:t>)</w:t>
            </w:r>
          </w:p>
        </w:tc>
        <w:tc>
          <w:tcPr>
            <w:tcW w:w="1633" w:type="dxa"/>
            <w:tcBorders>
              <w:top w:val="nil"/>
              <w:left w:val="nil"/>
              <w:bottom w:val="nil"/>
              <w:right w:val="nil"/>
            </w:tcBorders>
            <w:shd w:val="clear" w:color="auto" w:fill="auto"/>
            <w:noWrap/>
            <w:vAlign w:val="bottom"/>
            <w:hideMark/>
          </w:tcPr>
          <w:p w14:paraId="6A376C3C" w14:textId="77777777" w:rsidR="008A0C66" w:rsidRPr="00AB6809" w:rsidRDefault="008A0C66" w:rsidP="003833B3">
            <w:pPr>
              <w:spacing w:after="0"/>
              <w:rPr>
                <w:rFonts w:eastAsia="Times New Roman"/>
                <w:color w:val="000000"/>
              </w:rPr>
            </w:pPr>
            <w:r w:rsidRPr="00AB6809">
              <w:rPr>
                <w:rFonts w:eastAsia="Times New Roman"/>
                <w:color w:val="000000"/>
              </w:rPr>
              <w:t>0,1</w:t>
            </w:r>
          </w:p>
        </w:tc>
      </w:tr>
      <w:tr w:rsidR="008A0C66" w:rsidRPr="0077739B" w14:paraId="5F8FA669" w14:textId="77777777" w:rsidTr="00D86703">
        <w:trPr>
          <w:trHeight w:val="101"/>
        </w:trPr>
        <w:tc>
          <w:tcPr>
            <w:tcW w:w="6146" w:type="dxa"/>
            <w:tcBorders>
              <w:top w:val="nil"/>
              <w:left w:val="nil"/>
              <w:bottom w:val="nil"/>
              <w:right w:val="nil"/>
            </w:tcBorders>
            <w:shd w:val="clear" w:color="auto" w:fill="auto"/>
            <w:noWrap/>
            <w:vAlign w:val="bottom"/>
            <w:hideMark/>
          </w:tcPr>
          <w:p w14:paraId="1529DB49" w14:textId="77777777" w:rsidR="008A0C66" w:rsidRPr="00AB6809" w:rsidRDefault="008A0C66" w:rsidP="003833B3">
            <w:pPr>
              <w:spacing w:after="0"/>
              <w:rPr>
                <w:rFonts w:eastAsia="Times New Roman"/>
                <w:color w:val="000000"/>
              </w:rPr>
            </w:pPr>
            <w:r w:rsidRPr="00AB6809">
              <w:rPr>
                <w:rFonts w:eastAsia="Times New Roman"/>
                <w:color w:val="000000"/>
              </w:rPr>
              <w:t xml:space="preserve">Øremerkede tilskudd </w:t>
            </w:r>
          </w:p>
        </w:tc>
        <w:tc>
          <w:tcPr>
            <w:tcW w:w="1633" w:type="dxa"/>
            <w:tcBorders>
              <w:top w:val="nil"/>
              <w:left w:val="nil"/>
              <w:bottom w:val="nil"/>
              <w:right w:val="nil"/>
            </w:tcBorders>
            <w:shd w:val="clear" w:color="auto" w:fill="auto"/>
            <w:noWrap/>
            <w:vAlign w:val="bottom"/>
            <w:hideMark/>
          </w:tcPr>
          <w:p w14:paraId="01CE39E5" w14:textId="1C7C89AF" w:rsidR="008A0C66" w:rsidRPr="00AB6809" w:rsidRDefault="008A0C66" w:rsidP="003833B3">
            <w:pPr>
              <w:spacing w:after="0"/>
              <w:rPr>
                <w:rFonts w:eastAsia="Times New Roman"/>
                <w:color w:val="000000"/>
              </w:rPr>
            </w:pPr>
            <w:r>
              <w:rPr>
                <w:rFonts w:eastAsia="Times New Roman"/>
                <w:color w:val="000000"/>
              </w:rPr>
              <w:t>1,1</w:t>
            </w:r>
          </w:p>
        </w:tc>
      </w:tr>
      <w:tr w:rsidR="008A0C66" w:rsidRPr="0077739B" w14:paraId="3CD06820" w14:textId="77777777" w:rsidTr="00D86703">
        <w:trPr>
          <w:trHeight w:val="101"/>
        </w:trPr>
        <w:tc>
          <w:tcPr>
            <w:tcW w:w="6146" w:type="dxa"/>
            <w:tcBorders>
              <w:top w:val="nil"/>
              <w:left w:val="nil"/>
              <w:bottom w:val="nil"/>
              <w:right w:val="nil"/>
            </w:tcBorders>
            <w:shd w:val="clear" w:color="auto" w:fill="auto"/>
            <w:noWrap/>
            <w:vAlign w:val="bottom"/>
            <w:hideMark/>
          </w:tcPr>
          <w:p w14:paraId="24EFE809" w14:textId="77777777" w:rsidR="008A0C66" w:rsidRPr="00AB6809" w:rsidRDefault="008A0C66" w:rsidP="003833B3">
            <w:pPr>
              <w:spacing w:after="0"/>
              <w:rPr>
                <w:rFonts w:eastAsia="Times New Roman"/>
                <w:color w:val="000000"/>
              </w:rPr>
            </w:pPr>
            <w:r w:rsidRPr="00AB6809">
              <w:rPr>
                <w:rFonts w:eastAsia="Times New Roman"/>
                <w:color w:val="000000"/>
              </w:rPr>
              <w:t>Gebyrinntekter</w:t>
            </w:r>
          </w:p>
        </w:tc>
        <w:tc>
          <w:tcPr>
            <w:tcW w:w="1633" w:type="dxa"/>
            <w:tcBorders>
              <w:top w:val="nil"/>
              <w:left w:val="nil"/>
              <w:bottom w:val="nil"/>
              <w:right w:val="nil"/>
            </w:tcBorders>
            <w:shd w:val="clear" w:color="auto" w:fill="auto"/>
            <w:noWrap/>
            <w:vAlign w:val="bottom"/>
            <w:hideMark/>
          </w:tcPr>
          <w:p w14:paraId="22A55C3D" w14:textId="77777777" w:rsidR="008A0C66" w:rsidRPr="00AB6809" w:rsidRDefault="008A0C66" w:rsidP="003833B3">
            <w:pPr>
              <w:spacing w:after="0"/>
              <w:rPr>
                <w:rFonts w:eastAsia="Times New Roman"/>
                <w:color w:val="000000"/>
              </w:rPr>
            </w:pPr>
            <w:r w:rsidRPr="00AB6809">
              <w:rPr>
                <w:rFonts w:eastAsia="Times New Roman"/>
                <w:color w:val="000000"/>
              </w:rPr>
              <w:t>0,5</w:t>
            </w:r>
          </w:p>
        </w:tc>
      </w:tr>
      <w:tr w:rsidR="008A0C66" w:rsidRPr="0077739B" w14:paraId="2C5DFEAA" w14:textId="77777777" w:rsidTr="00D86703">
        <w:trPr>
          <w:trHeight w:val="101"/>
        </w:trPr>
        <w:tc>
          <w:tcPr>
            <w:tcW w:w="6146" w:type="dxa"/>
            <w:tcBorders>
              <w:top w:val="single" w:sz="4" w:space="0" w:color="auto"/>
              <w:left w:val="nil"/>
              <w:bottom w:val="single" w:sz="4" w:space="0" w:color="auto"/>
              <w:right w:val="nil"/>
            </w:tcBorders>
            <w:shd w:val="clear" w:color="auto" w:fill="auto"/>
            <w:noWrap/>
            <w:vAlign w:val="bottom"/>
            <w:hideMark/>
          </w:tcPr>
          <w:p w14:paraId="5336FC54" w14:textId="77777777" w:rsidR="008A0C66" w:rsidRPr="00AB6809" w:rsidRDefault="008A0C66" w:rsidP="003833B3">
            <w:pPr>
              <w:spacing w:after="0"/>
              <w:rPr>
                <w:rFonts w:eastAsia="Times New Roman"/>
                <w:color w:val="000000"/>
              </w:rPr>
            </w:pPr>
            <w:r w:rsidRPr="00AB6809">
              <w:rPr>
                <w:rFonts w:eastAsia="Times New Roman"/>
                <w:color w:val="000000"/>
              </w:rPr>
              <w:t>Realvekst samlede inntekter uten særskilt tillegg</w:t>
            </w:r>
          </w:p>
        </w:tc>
        <w:tc>
          <w:tcPr>
            <w:tcW w:w="1633" w:type="dxa"/>
            <w:tcBorders>
              <w:top w:val="single" w:sz="4" w:space="0" w:color="auto"/>
              <w:left w:val="nil"/>
              <w:bottom w:val="single" w:sz="4" w:space="0" w:color="auto"/>
              <w:right w:val="nil"/>
            </w:tcBorders>
            <w:shd w:val="clear" w:color="auto" w:fill="auto"/>
            <w:noWrap/>
            <w:vAlign w:val="bottom"/>
            <w:hideMark/>
          </w:tcPr>
          <w:p w14:paraId="7F7AFD8D" w14:textId="1919A75A" w:rsidR="008A0C66" w:rsidRPr="00AB6809" w:rsidRDefault="008A0C66" w:rsidP="003833B3">
            <w:pPr>
              <w:spacing w:after="0"/>
              <w:rPr>
                <w:rFonts w:eastAsia="Times New Roman"/>
                <w:b/>
                <w:color w:val="000000"/>
              </w:rPr>
            </w:pPr>
            <w:r>
              <w:rPr>
                <w:rFonts w:eastAsia="Times New Roman"/>
                <w:b/>
                <w:color w:val="000000"/>
              </w:rPr>
              <w:t>3,8</w:t>
            </w:r>
          </w:p>
        </w:tc>
      </w:tr>
    </w:tbl>
    <w:p w14:paraId="2CFF7DBA" w14:textId="77777777" w:rsidR="008A0C66" w:rsidRPr="00AB6809" w:rsidRDefault="008A0C66" w:rsidP="008A0C66">
      <w:pPr>
        <w:pStyle w:val="Listeavsnitt"/>
        <w:numPr>
          <w:ilvl w:val="0"/>
          <w:numId w:val="23"/>
        </w:numPr>
        <w:spacing w:after="0"/>
        <w:rPr>
          <w:rFonts w:ascii="Open Sans Light" w:eastAsia="Calibri" w:hAnsi="Open Sans Light" w:cs="Open Sans Light"/>
          <w:sz w:val="16"/>
          <w:szCs w:val="16"/>
        </w:rPr>
      </w:pPr>
      <w:r w:rsidRPr="00AB6809">
        <w:rPr>
          <w:sz w:val="16"/>
          <w:szCs w:val="16"/>
        </w:rPr>
        <w:t>Disse midlene bevilges som frie inntekter, men regnes ikke med i veksten i frie inntekter siden midlene er knyttet til endringer i pålagte oppgaver. Midlene medregnes i veksten i de samlede inntektene.</w:t>
      </w:r>
    </w:p>
    <w:p w14:paraId="72EC4565" w14:textId="77777777" w:rsidR="00AE712D" w:rsidRDefault="00AE712D" w:rsidP="00AE712D">
      <w:pPr>
        <w:spacing w:after="0"/>
        <w:rPr>
          <w:rFonts w:eastAsia="Calibri"/>
          <w:b/>
        </w:rPr>
      </w:pPr>
    </w:p>
    <w:p w14:paraId="5666F9EC" w14:textId="386417A7" w:rsidR="008A0C66" w:rsidRPr="008A563C" w:rsidRDefault="008A0C66" w:rsidP="00AE712D">
      <w:pPr>
        <w:spacing w:after="0"/>
        <w:rPr>
          <w:rFonts w:eastAsia="Calibri"/>
          <w:b/>
          <w:bCs/>
          <w:color w:val="ADBBC5" w:themeColor="text2" w:themeTint="66"/>
          <w:sz w:val="28"/>
        </w:rPr>
      </w:pPr>
      <w:r w:rsidRPr="008A563C">
        <w:rPr>
          <w:rFonts w:eastAsia="Calibri"/>
          <w:b/>
        </w:rPr>
        <w:t xml:space="preserve">Detaljert anslag på frie inntekter: </w:t>
      </w:r>
    </w:p>
    <w:tbl>
      <w:tblPr>
        <w:tblStyle w:val="TrykketTabell"/>
        <w:tblW w:w="10652" w:type="dxa"/>
        <w:tblInd w:w="-587" w:type="dxa"/>
        <w:tblLayout w:type="fixed"/>
        <w:tblLook w:val="04A0" w:firstRow="1" w:lastRow="0" w:firstColumn="1" w:lastColumn="0" w:noHBand="0" w:noVBand="1"/>
      </w:tblPr>
      <w:tblGrid>
        <w:gridCol w:w="1721"/>
        <w:gridCol w:w="1572"/>
        <w:gridCol w:w="1114"/>
        <w:gridCol w:w="886"/>
        <w:gridCol w:w="1026"/>
        <w:gridCol w:w="881"/>
        <w:gridCol w:w="739"/>
        <w:gridCol w:w="1026"/>
        <w:gridCol w:w="1026"/>
        <w:gridCol w:w="661"/>
      </w:tblGrid>
      <w:tr w:rsidR="008A0C66" w:rsidRPr="008A563C" w14:paraId="711C791A" w14:textId="77777777" w:rsidTr="002063A6">
        <w:trPr>
          <w:cnfStyle w:val="100000000000" w:firstRow="1" w:lastRow="0" w:firstColumn="0" w:lastColumn="0" w:oddVBand="0" w:evenVBand="0" w:oddHBand="0" w:evenHBand="0" w:firstRowFirstColumn="0" w:firstRowLastColumn="0" w:lastRowFirstColumn="0" w:lastRowLastColumn="0"/>
          <w:trHeight w:val="419"/>
        </w:trPr>
        <w:tc>
          <w:tcPr>
            <w:tcW w:w="1721" w:type="dxa"/>
            <w:tcBorders>
              <w:top w:val="nil"/>
            </w:tcBorders>
            <w:vAlign w:val="bottom"/>
          </w:tcPr>
          <w:p w14:paraId="478EBD82" w14:textId="77777777" w:rsidR="008A0C66" w:rsidRPr="008A563C" w:rsidRDefault="008A0C66" w:rsidP="00D86703">
            <w:pPr>
              <w:spacing w:after="120"/>
              <w:jc w:val="right"/>
              <w:rPr>
                <w:rFonts w:ascii="Open Sans Light" w:eastAsia="Batang" w:hAnsi="Open Sans Light" w:cs="Open Sans Light"/>
                <w:color w:val="000000" w:themeColor="text1"/>
              </w:rPr>
            </w:pPr>
            <w:r w:rsidRPr="008A563C">
              <w:rPr>
                <w:rFonts w:ascii="Open Sans Light" w:eastAsia="Batang" w:hAnsi="Open Sans Light" w:cs="Open Sans Light"/>
                <w:color w:val="000000" w:themeColor="text1"/>
              </w:rPr>
              <w:t xml:space="preserve"> </w:t>
            </w:r>
          </w:p>
        </w:tc>
        <w:tc>
          <w:tcPr>
            <w:tcW w:w="3572" w:type="dxa"/>
            <w:gridSpan w:val="3"/>
            <w:tcBorders>
              <w:top w:val="nil"/>
            </w:tcBorders>
            <w:vAlign w:val="bottom"/>
          </w:tcPr>
          <w:p w14:paraId="4A08F7D9" w14:textId="77777777" w:rsidR="008A0C66" w:rsidRPr="008A563C" w:rsidRDefault="008A0C66" w:rsidP="00D86703">
            <w:pPr>
              <w:spacing w:after="120"/>
              <w:jc w:val="right"/>
              <w:rPr>
                <w:rFonts w:ascii="Open Sans Light" w:eastAsia="Batang" w:hAnsi="Open Sans Light" w:cs="Open Sans Light"/>
                <w:color w:val="000000" w:themeColor="text1"/>
                <w:sz w:val="19"/>
                <w:szCs w:val="19"/>
              </w:rPr>
            </w:pPr>
          </w:p>
        </w:tc>
        <w:tc>
          <w:tcPr>
            <w:tcW w:w="2646" w:type="dxa"/>
            <w:gridSpan w:val="3"/>
            <w:tcBorders>
              <w:top w:val="nil"/>
            </w:tcBorders>
            <w:vAlign w:val="bottom"/>
          </w:tcPr>
          <w:p w14:paraId="55190E95" w14:textId="77777777" w:rsidR="008A0C66" w:rsidRPr="008A563C" w:rsidRDefault="008A0C66" w:rsidP="00D86703">
            <w:pPr>
              <w:spacing w:after="120"/>
              <w:jc w:val="right"/>
              <w:rPr>
                <w:rFonts w:ascii="Open Sans Light" w:eastAsia="Batang" w:hAnsi="Open Sans Light" w:cs="Open Sans Light"/>
                <w:color w:val="000000" w:themeColor="text1"/>
                <w:sz w:val="19"/>
                <w:szCs w:val="19"/>
              </w:rPr>
            </w:pPr>
          </w:p>
        </w:tc>
        <w:tc>
          <w:tcPr>
            <w:tcW w:w="2713" w:type="dxa"/>
            <w:gridSpan w:val="3"/>
            <w:tcBorders>
              <w:top w:val="nil"/>
            </w:tcBorders>
            <w:vAlign w:val="bottom"/>
            <w:hideMark/>
          </w:tcPr>
          <w:p w14:paraId="3D51404C" w14:textId="77777777" w:rsidR="008A0C66" w:rsidRPr="008A563C" w:rsidRDefault="008A0C66" w:rsidP="00D86703">
            <w:pPr>
              <w:spacing w:after="120"/>
              <w:rPr>
                <w:rFonts w:ascii="Open Sans Light" w:eastAsia="Batang" w:hAnsi="Open Sans Light" w:cs="Open Sans Light"/>
                <w:color w:val="000000" w:themeColor="text1"/>
                <w:sz w:val="19"/>
                <w:szCs w:val="19"/>
              </w:rPr>
            </w:pPr>
            <w:r w:rsidRPr="008A563C">
              <w:rPr>
                <w:rFonts w:ascii="Open Sans Light" w:eastAsia="Batang" w:hAnsi="Open Sans Light" w:cs="Open Sans Light"/>
                <w:color w:val="000000" w:themeColor="text1"/>
              </w:rPr>
              <w:t xml:space="preserve"> Mill. kr. Nominelle priser</w:t>
            </w:r>
            <w:r w:rsidRPr="008A563C">
              <w:rPr>
                <w:rFonts w:ascii="Open Sans Light" w:eastAsia="Batang" w:hAnsi="Open Sans Light" w:cs="Open Sans Light"/>
                <w:color w:val="000000" w:themeColor="text1"/>
                <w:vertAlign w:val="superscript"/>
              </w:rPr>
              <w:t>1</w:t>
            </w:r>
          </w:p>
        </w:tc>
      </w:tr>
      <w:tr w:rsidR="008A0C66" w:rsidRPr="008A563C" w14:paraId="7F21CDC8" w14:textId="77777777" w:rsidTr="002063A6">
        <w:trPr>
          <w:trHeight w:val="419"/>
        </w:trPr>
        <w:tc>
          <w:tcPr>
            <w:tcW w:w="1721" w:type="dxa"/>
            <w:tcBorders>
              <w:top w:val="single" w:sz="4" w:space="0" w:color="auto"/>
              <w:left w:val="nil"/>
              <w:bottom w:val="single" w:sz="4" w:space="0" w:color="auto"/>
              <w:right w:val="nil"/>
            </w:tcBorders>
            <w:vAlign w:val="bottom"/>
            <w:hideMark/>
          </w:tcPr>
          <w:p w14:paraId="6C5EBDF3" w14:textId="77777777" w:rsidR="008A0C66" w:rsidRPr="008A563C" w:rsidRDefault="008A0C66" w:rsidP="00D86703">
            <w:pPr>
              <w:spacing w:after="120"/>
              <w:jc w:val="right"/>
              <w:rPr>
                <w:rFonts w:ascii="Open Sans Light" w:eastAsia="Batang" w:hAnsi="Open Sans Light" w:cs="Open Sans Light"/>
                <w:color w:val="000000" w:themeColor="text1"/>
              </w:rPr>
            </w:pPr>
          </w:p>
        </w:tc>
        <w:tc>
          <w:tcPr>
            <w:tcW w:w="3572" w:type="dxa"/>
            <w:gridSpan w:val="3"/>
            <w:tcBorders>
              <w:top w:val="single" w:sz="4" w:space="0" w:color="auto"/>
              <w:left w:val="nil"/>
              <w:bottom w:val="single" w:sz="4" w:space="0" w:color="auto"/>
              <w:right w:val="nil"/>
            </w:tcBorders>
            <w:vAlign w:val="bottom"/>
            <w:hideMark/>
          </w:tcPr>
          <w:p w14:paraId="09A9F583" w14:textId="77777777" w:rsidR="008A0C66" w:rsidRPr="008A563C" w:rsidRDefault="008A0C66" w:rsidP="00D86703">
            <w:pPr>
              <w:spacing w:after="120"/>
              <w:rPr>
                <w:rFonts w:ascii="Open Sans Light" w:eastAsia="Batang" w:hAnsi="Open Sans Light" w:cs="Open Sans Light"/>
                <w:color w:val="000000" w:themeColor="text1"/>
              </w:rPr>
            </w:pPr>
            <w:r w:rsidRPr="008A563C">
              <w:rPr>
                <w:rFonts w:ascii="Open Sans Light" w:eastAsia="Batang" w:hAnsi="Open Sans Light" w:cs="Open Sans Light"/>
                <w:color w:val="000000" w:themeColor="text1"/>
                <w:sz w:val="19"/>
                <w:szCs w:val="19"/>
              </w:rPr>
              <w:t xml:space="preserve">             Kommunene</w:t>
            </w:r>
            <w:r w:rsidRPr="008A563C">
              <w:rPr>
                <w:rFonts w:ascii="Open Sans Light" w:eastAsia="Batang" w:hAnsi="Open Sans Light" w:cs="Open Sans Light"/>
                <w:color w:val="000000" w:themeColor="text1"/>
                <w:vertAlign w:val="superscript"/>
              </w:rPr>
              <w:t>2</w:t>
            </w:r>
          </w:p>
        </w:tc>
        <w:tc>
          <w:tcPr>
            <w:tcW w:w="2646" w:type="dxa"/>
            <w:gridSpan w:val="3"/>
            <w:tcBorders>
              <w:top w:val="single" w:sz="4" w:space="0" w:color="auto"/>
              <w:left w:val="nil"/>
              <w:bottom w:val="single" w:sz="4" w:space="0" w:color="auto"/>
              <w:right w:val="nil"/>
            </w:tcBorders>
            <w:vAlign w:val="bottom"/>
            <w:hideMark/>
          </w:tcPr>
          <w:p w14:paraId="583C5B29" w14:textId="77777777" w:rsidR="008A0C66" w:rsidRPr="008A563C" w:rsidRDefault="008A0C66" w:rsidP="00D86703">
            <w:pPr>
              <w:spacing w:after="120"/>
              <w:rPr>
                <w:rFonts w:ascii="Open Sans Light" w:eastAsia="Batang" w:hAnsi="Open Sans Light" w:cs="Open Sans Light"/>
                <w:color w:val="000000" w:themeColor="text1"/>
              </w:rPr>
            </w:pPr>
            <w:r w:rsidRPr="008A563C">
              <w:rPr>
                <w:rFonts w:ascii="Open Sans Light" w:eastAsia="Batang" w:hAnsi="Open Sans Light" w:cs="Open Sans Light"/>
                <w:color w:val="000000" w:themeColor="text1"/>
                <w:sz w:val="19"/>
                <w:szCs w:val="19"/>
              </w:rPr>
              <w:t>Fylkeskommunene</w:t>
            </w:r>
            <w:r w:rsidRPr="008A563C">
              <w:rPr>
                <w:rFonts w:ascii="Open Sans Light" w:eastAsia="Batang" w:hAnsi="Open Sans Light" w:cs="Open Sans Light"/>
                <w:color w:val="000000" w:themeColor="text1"/>
                <w:vertAlign w:val="superscript"/>
              </w:rPr>
              <w:t>2</w:t>
            </w:r>
          </w:p>
        </w:tc>
        <w:tc>
          <w:tcPr>
            <w:tcW w:w="2713" w:type="dxa"/>
            <w:gridSpan w:val="3"/>
            <w:tcBorders>
              <w:top w:val="single" w:sz="4" w:space="0" w:color="auto"/>
              <w:left w:val="nil"/>
              <w:bottom w:val="single" w:sz="4" w:space="0" w:color="auto"/>
              <w:right w:val="nil"/>
            </w:tcBorders>
            <w:vAlign w:val="bottom"/>
            <w:hideMark/>
          </w:tcPr>
          <w:p w14:paraId="1E82130E" w14:textId="77777777" w:rsidR="008A0C66" w:rsidRPr="008A563C" w:rsidRDefault="008A0C66" w:rsidP="00D86703">
            <w:pPr>
              <w:spacing w:after="120"/>
              <w:rPr>
                <w:rFonts w:ascii="Open Sans Light" w:eastAsia="Batang" w:hAnsi="Open Sans Light" w:cs="Open Sans Light"/>
                <w:color w:val="000000" w:themeColor="text1"/>
              </w:rPr>
            </w:pPr>
            <w:r w:rsidRPr="008A563C">
              <w:rPr>
                <w:rFonts w:ascii="Open Sans Light" w:eastAsia="Batang" w:hAnsi="Open Sans Light" w:cs="Open Sans Light"/>
                <w:color w:val="000000" w:themeColor="text1"/>
                <w:sz w:val="19"/>
                <w:szCs w:val="19"/>
              </w:rPr>
              <w:t>Kommunesektoren i alt</w:t>
            </w:r>
          </w:p>
        </w:tc>
      </w:tr>
      <w:tr w:rsidR="008A0C66" w:rsidRPr="008A563C" w14:paraId="75812434" w14:textId="77777777" w:rsidTr="002063A6">
        <w:trPr>
          <w:trHeight w:val="700"/>
        </w:trPr>
        <w:tc>
          <w:tcPr>
            <w:tcW w:w="1721" w:type="dxa"/>
            <w:tcBorders>
              <w:top w:val="single" w:sz="4" w:space="0" w:color="auto"/>
              <w:left w:val="nil"/>
              <w:bottom w:val="single" w:sz="4" w:space="0" w:color="auto"/>
              <w:right w:val="nil"/>
            </w:tcBorders>
          </w:tcPr>
          <w:p w14:paraId="4EE07FB8" w14:textId="77777777" w:rsidR="008A0C66" w:rsidRPr="008A563C" w:rsidRDefault="008A0C66" w:rsidP="00D86703">
            <w:pPr>
              <w:spacing w:after="120"/>
              <w:rPr>
                <w:rFonts w:ascii="Open Sans Light" w:eastAsia="Batang" w:hAnsi="Open Sans Light" w:cs="Open Sans Light"/>
                <w:color w:val="000000" w:themeColor="text1"/>
              </w:rPr>
            </w:pPr>
          </w:p>
        </w:tc>
        <w:tc>
          <w:tcPr>
            <w:tcW w:w="1572" w:type="dxa"/>
            <w:tcBorders>
              <w:top w:val="single" w:sz="4" w:space="0" w:color="auto"/>
              <w:left w:val="nil"/>
              <w:bottom w:val="single" w:sz="4" w:space="0" w:color="auto"/>
              <w:right w:val="nil"/>
            </w:tcBorders>
            <w:hideMark/>
          </w:tcPr>
          <w:p w14:paraId="15909EAC" w14:textId="781C4832" w:rsidR="008A0C66" w:rsidRPr="008A563C" w:rsidRDefault="008A0C66" w:rsidP="00D86703">
            <w:pPr>
              <w:spacing w:after="120"/>
              <w:jc w:val="center"/>
              <w:rPr>
                <w:rFonts w:ascii="Open Sans Light" w:eastAsia="Batang" w:hAnsi="Open Sans Light" w:cs="Open Sans Light"/>
                <w:color w:val="000000" w:themeColor="text1"/>
              </w:rPr>
            </w:pPr>
            <w:r w:rsidRPr="008A563C">
              <w:rPr>
                <w:rFonts w:ascii="Open Sans Light" w:eastAsia="Batang" w:hAnsi="Open Sans Light" w:cs="Open Sans Light"/>
                <w:color w:val="000000" w:themeColor="text1"/>
                <w:sz w:val="19"/>
                <w:szCs w:val="19"/>
              </w:rPr>
              <w:t>202</w:t>
            </w:r>
            <w:r>
              <w:rPr>
                <w:rFonts w:ascii="Open Sans Light" w:eastAsia="Batang" w:hAnsi="Open Sans Light" w:cs="Open Sans Light"/>
                <w:color w:val="000000" w:themeColor="text1"/>
                <w:sz w:val="19"/>
                <w:szCs w:val="19"/>
              </w:rPr>
              <w:t>1</w:t>
            </w:r>
            <w:r w:rsidRPr="008A563C">
              <w:rPr>
                <w:rFonts w:ascii="Open Sans Light" w:eastAsia="Batang" w:hAnsi="Open Sans Light" w:cs="Open Sans Light"/>
                <w:color w:val="000000" w:themeColor="text1"/>
                <w:vertAlign w:val="superscript"/>
              </w:rPr>
              <w:t>3</w:t>
            </w:r>
          </w:p>
        </w:tc>
        <w:tc>
          <w:tcPr>
            <w:tcW w:w="1114" w:type="dxa"/>
            <w:tcBorders>
              <w:top w:val="single" w:sz="4" w:space="0" w:color="auto"/>
              <w:left w:val="nil"/>
              <w:bottom w:val="single" w:sz="4" w:space="0" w:color="auto"/>
              <w:right w:val="nil"/>
            </w:tcBorders>
            <w:hideMark/>
          </w:tcPr>
          <w:p w14:paraId="6823E461" w14:textId="63389A58" w:rsidR="008A0C66" w:rsidRPr="008A563C" w:rsidRDefault="008A0C66" w:rsidP="00D86703">
            <w:pPr>
              <w:spacing w:after="120"/>
              <w:jc w:val="center"/>
              <w:rPr>
                <w:rFonts w:ascii="Open Sans Light" w:eastAsia="Batang" w:hAnsi="Open Sans Light" w:cs="Open Sans Light"/>
                <w:color w:val="000000" w:themeColor="text1"/>
              </w:rPr>
            </w:pPr>
            <w:r w:rsidRPr="008A563C">
              <w:rPr>
                <w:rFonts w:ascii="Open Sans Light" w:eastAsia="Batang" w:hAnsi="Open Sans Light" w:cs="Open Sans Light"/>
                <w:color w:val="000000" w:themeColor="text1"/>
                <w:sz w:val="19"/>
                <w:szCs w:val="19"/>
              </w:rPr>
              <w:t>202</w:t>
            </w:r>
            <w:r>
              <w:rPr>
                <w:rFonts w:ascii="Open Sans Light" w:eastAsia="Batang" w:hAnsi="Open Sans Light" w:cs="Open Sans Light"/>
                <w:color w:val="000000" w:themeColor="text1"/>
                <w:sz w:val="19"/>
                <w:szCs w:val="19"/>
              </w:rPr>
              <w:t>2</w:t>
            </w:r>
          </w:p>
        </w:tc>
        <w:tc>
          <w:tcPr>
            <w:tcW w:w="886" w:type="dxa"/>
            <w:tcBorders>
              <w:top w:val="single" w:sz="4" w:space="0" w:color="auto"/>
              <w:left w:val="nil"/>
              <w:bottom w:val="single" w:sz="4" w:space="0" w:color="auto"/>
              <w:right w:val="nil"/>
            </w:tcBorders>
            <w:hideMark/>
          </w:tcPr>
          <w:p w14:paraId="43FD4A69" w14:textId="77777777" w:rsidR="008A0C66" w:rsidRPr="008A563C" w:rsidRDefault="008A0C66" w:rsidP="00D86703">
            <w:pPr>
              <w:spacing w:after="120"/>
              <w:jc w:val="right"/>
              <w:rPr>
                <w:rFonts w:ascii="Open Sans Light" w:eastAsia="Batang" w:hAnsi="Open Sans Light" w:cs="Open Sans Light"/>
                <w:color w:val="000000" w:themeColor="text1"/>
              </w:rPr>
            </w:pPr>
            <w:r w:rsidRPr="008A563C">
              <w:rPr>
                <w:rFonts w:ascii="Open Sans Light" w:eastAsia="Batang" w:hAnsi="Open Sans Light" w:cs="Open Sans Light"/>
                <w:color w:val="000000" w:themeColor="text1"/>
                <w:sz w:val="19"/>
                <w:szCs w:val="19"/>
              </w:rPr>
              <w:t xml:space="preserve">Pst. </w:t>
            </w:r>
            <w:r w:rsidRPr="008A563C">
              <w:rPr>
                <w:rFonts w:ascii="Open Sans Light" w:eastAsia="Batang" w:hAnsi="Open Sans Light" w:cs="Open Sans Light"/>
                <w:color w:val="000000" w:themeColor="text1"/>
                <w:sz w:val="19"/>
                <w:szCs w:val="19"/>
              </w:rPr>
              <w:br/>
              <w:t xml:space="preserve">   </w:t>
            </w:r>
            <w:proofErr w:type="spellStart"/>
            <w:r w:rsidRPr="008A563C">
              <w:rPr>
                <w:rFonts w:ascii="Open Sans Light" w:eastAsia="Batang" w:hAnsi="Open Sans Light" w:cs="Open Sans Light"/>
                <w:color w:val="000000" w:themeColor="text1"/>
                <w:sz w:val="19"/>
                <w:szCs w:val="19"/>
              </w:rPr>
              <w:t>endr</w:t>
            </w:r>
            <w:proofErr w:type="spellEnd"/>
            <w:r w:rsidRPr="008A563C">
              <w:rPr>
                <w:rFonts w:ascii="Open Sans Light" w:eastAsia="Batang" w:hAnsi="Open Sans Light" w:cs="Open Sans Light"/>
                <w:color w:val="000000" w:themeColor="text1"/>
                <w:sz w:val="19"/>
                <w:szCs w:val="19"/>
              </w:rPr>
              <w:t>.</w:t>
            </w:r>
          </w:p>
        </w:tc>
        <w:tc>
          <w:tcPr>
            <w:tcW w:w="1026" w:type="dxa"/>
            <w:tcBorders>
              <w:top w:val="single" w:sz="4" w:space="0" w:color="auto"/>
              <w:left w:val="nil"/>
              <w:bottom w:val="single" w:sz="4" w:space="0" w:color="auto"/>
              <w:right w:val="nil"/>
            </w:tcBorders>
            <w:hideMark/>
          </w:tcPr>
          <w:p w14:paraId="671C6A92" w14:textId="6C69D435" w:rsidR="008A0C66" w:rsidRPr="008A563C" w:rsidRDefault="008A0C66" w:rsidP="00D86703">
            <w:pPr>
              <w:spacing w:after="120"/>
              <w:jc w:val="center"/>
              <w:rPr>
                <w:rFonts w:ascii="Open Sans Light" w:eastAsia="Batang" w:hAnsi="Open Sans Light" w:cs="Open Sans Light"/>
                <w:color w:val="000000" w:themeColor="text1"/>
              </w:rPr>
            </w:pPr>
            <w:r w:rsidRPr="008A563C">
              <w:rPr>
                <w:rFonts w:ascii="Open Sans Light" w:eastAsia="Batang" w:hAnsi="Open Sans Light" w:cs="Open Sans Light"/>
                <w:color w:val="000000" w:themeColor="text1"/>
                <w:sz w:val="19"/>
                <w:szCs w:val="19"/>
              </w:rPr>
              <w:t>202</w:t>
            </w:r>
            <w:r>
              <w:rPr>
                <w:rFonts w:ascii="Open Sans Light" w:eastAsia="Batang" w:hAnsi="Open Sans Light" w:cs="Open Sans Light"/>
                <w:color w:val="000000" w:themeColor="text1"/>
                <w:sz w:val="19"/>
                <w:szCs w:val="19"/>
              </w:rPr>
              <w:t>1</w:t>
            </w:r>
            <w:r w:rsidRPr="008A563C">
              <w:rPr>
                <w:rFonts w:ascii="Open Sans Light" w:eastAsia="Batang" w:hAnsi="Open Sans Light" w:cs="Open Sans Light"/>
                <w:color w:val="000000" w:themeColor="text1"/>
                <w:vertAlign w:val="superscript"/>
              </w:rPr>
              <w:t>3</w:t>
            </w:r>
          </w:p>
        </w:tc>
        <w:tc>
          <w:tcPr>
            <w:tcW w:w="881" w:type="dxa"/>
            <w:tcBorders>
              <w:top w:val="single" w:sz="4" w:space="0" w:color="auto"/>
              <w:left w:val="nil"/>
              <w:bottom w:val="single" w:sz="4" w:space="0" w:color="auto"/>
              <w:right w:val="nil"/>
            </w:tcBorders>
            <w:hideMark/>
          </w:tcPr>
          <w:p w14:paraId="4831475E" w14:textId="789A2C94" w:rsidR="008A0C66" w:rsidRPr="008A563C" w:rsidRDefault="008A0C66" w:rsidP="00D86703">
            <w:pPr>
              <w:spacing w:after="120"/>
              <w:jc w:val="center"/>
              <w:rPr>
                <w:rFonts w:ascii="Open Sans Light" w:eastAsia="Batang" w:hAnsi="Open Sans Light" w:cs="Open Sans Light"/>
                <w:color w:val="000000" w:themeColor="text1"/>
              </w:rPr>
            </w:pPr>
            <w:r w:rsidRPr="008A563C">
              <w:rPr>
                <w:rFonts w:ascii="Open Sans Light" w:eastAsia="Batang" w:hAnsi="Open Sans Light" w:cs="Open Sans Light"/>
                <w:color w:val="000000" w:themeColor="text1"/>
                <w:sz w:val="19"/>
                <w:szCs w:val="19"/>
              </w:rPr>
              <w:t>202</w:t>
            </w:r>
            <w:r>
              <w:rPr>
                <w:rFonts w:ascii="Open Sans Light" w:eastAsia="Batang" w:hAnsi="Open Sans Light" w:cs="Open Sans Light"/>
                <w:color w:val="000000" w:themeColor="text1"/>
                <w:sz w:val="19"/>
                <w:szCs w:val="19"/>
              </w:rPr>
              <w:t>2</w:t>
            </w:r>
          </w:p>
        </w:tc>
        <w:tc>
          <w:tcPr>
            <w:tcW w:w="739" w:type="dxa"/>
            <w:tcBorders>
              <w:top w:val="single" w:sz="4" w:space="0" w:color="auto"/>
              <w:left w:val="nil"/>
              <w:bottom w:val="single" w:sz="4" w:space="0" w:color="auto"/>
              <w:right w:val="nil"/>
            </w:tcBorders>
            <w:hideMark/>
          </w:tcPr>
          <w:p w14:paraId="258BC34E" w14:textId="77777777" w:rsidR="008A0C66" w:rsidRPr="008A563C" w:rsidRDefault="008A0C66" w:rsidP="00D86703">
            <w:pPr>
              <w:spacing w:after="120"/>
              <w:jc w:val="right"/>
              <w:rPr>
                <w:rFonts w:ascii="Open Sans Light" w:eastAsia="Batang" w:hAnsi="Open Sans Light" w:cs="Open Sans Light"/>
                <w:color w:val="000000" w:themeColor="text1"/>
              </w:rPr>
            </w:pPr>
            <w:r w:rsidRPr="008A563C">
              <w:rPr>
                <w:rFonts w:ascii="Open Sans Light" w:eastAsia="Batang" w:hAnsi="Open Sans Light" w:cs="Open Sans Light"/>
                <w:color w:val="000000" w:themeColor="text1"/>
                <w:sz w:val="19"/>
                <w:szCs w:val="19"/>
              </w:rPr>
              <w:t xml:space="preserve">Pst. </w:t>
            </w:r>
            <w:r w:rsidRPr="008A563C">
              <w:rPr>
                <w:rFonts w:ascii="Open Sans Light" w:eastAsia="Batang" w:hAnsi="Open Sans Light" w:cs="Open Sans Light"/>
                <w:color w:val="000000" w:themeColor="text1"/>
                <w:sz w:val="19"/>
                <w:szCs w:val="19"/>
              </w:rPr>
              <w:br/>
            </w:r>
            <w:proofErr w:type="spellStart"/>
            <w:r w:rsidRPr="008A563C">
              <w:rPr>
                <w:rFonts w:ascii="Open Sans Light" w:eastAsia="Batang" w:hAnsi="Open Sans Light" w:cs="Open Sans Light"/>
                <w:color w:val="000000" w:themeColor="text1"/>
                <w:sz w:val="19"/>
                <w:szCs w:val="19"/>
              </w:rPr>
              <w:t>endr</w:t>
            </w:r>
            <w:proofErr w:type="spellEnd"/>
            <w:r w:rsidRPr="008A563C">
              <w:rPr>
                <w:rFonts w:ascii="Open Sans Light" w:eastAsia="Batang" w:hAnsi="Open Sans Light" w:cs="Open Sans Light"/>
                <w:color w:val="000000" w:themeColor="text1"/>
                <w:sz w:val="19"/>
                <w:szCs w:val="19"/>
              </w:rPr>
              <w:t>.</w:t>
            </w:r>
          </w:p>
        </w:tc>
        <w:tc>
          <w:tcPr>
            <w:tcW w:w="1026" w:type="dxa"/>
            <w:tcBorders>
              <w:top w:val="single" w:sz="4" w:space="0" w:color="auto"/>
              <w:left w:val="nil"/>
              <w:bottom w:val="single" w:sz="4" w:space="0" w:color="auto"/>
              <w:right w:val="nil"/>
            </w:tcBorders>
            <w:hideMark/>
          </w:tcPr>
          <w:p w14:paraId="7DD05F39" w14:textId="04AEDD9C" w:rsidR="008A0C66" w:rsidRPr="008A563C" w:rsidRDefault="008A0C66" w:rsidP="00D86703">
            <w:pPr>
              <w:spacing w:after="120"/>
              <w:jc w:val="center"/>
              <w:rPr>
                <w:rFonts w:ascii="Open Sans Light" w:eastAsia="Batang" w:hAnsi="Open Sans Light" w:cs="Open Sans Light"/>
                <w:color w:val="000000" w:themeColor="text1"/>
              </w:rPr>
            </w:pPr>
            <w:r w:rsidRPr="008A563C">
              <w:rPr>
                <w:rFonts w:ascii="Open Sans Light" w:eastAsia="Batang" w:hAnsi="Open Sans Light" w:cs="Open Sans Light"/>
                <w:color w:val="000000" w:themeColor="text1"/>
                <w:sz w:val="19"/>
                <w:szCs w:val="19"/>
              </w:rPr>
              <w:t>202</w:t>
            </w:r>
            <w:r>
              <w:rPr>
                <w:rFonts w:ascii="Open Sans Light" w:eastAsia="Batang" w:hAnsi="Open Sans Light" w:cs="Open Sans Light"/>
                <w:color w:val="000000" w:themeColor="text1"/>
                <w:sz w:val="19"/>
                <w:szCs w:val="19"/>
              </w:rPr>
              <w:t>1</w:t>
            </w:r>
            <w:r w:rsidRPr="008A563C">
              <w:rPr>
                <w:rFonts w:ascii="Open Sans Light" w:eastAsia="Batang" w:hAnsi="Open Sans Light" w:cs="Open Sans Light"/>
                <w:color w:val="000000" w:themeColor="text1"/>
                <w:vertAlign w:val="superscript"/>
              </w:rPr>
              <w:t>3</w:t>
            </w:r>
          </w:p>
        </w:tc>
        <w:tc>
          <w:tcPr>
            <w:tcW w:w="1026" w:type="dxa"/>
            <w:tcBorders>
              <w:top w:val="single" w:sz="4" w:space="0" w:color="auto"/>
              <w:left w:val="nil"/>
              <w:bottom w:val="single" w:sz="4" w:space="0" w:color="auto"/>
              <w:right w:val="nil"/>
            </w:tcBorders>
            <w:hideMark/>
          </w:tcPr>
          <w:p w14:paraId="3DE21062" w14:textId="7B46F039" w:rsidR="008A0C66" w:rsidRPr="008A563C" w:rsidRDefault="008A0C66" w:rsidP="00D86703">
            <w:pPr>
              <w:spacing w:after="120"/>
              <w:jc w:val="center"/>
              <w:rPr>
                <w:rFonts w:ascii="Open Sans Light" w:eastAsia="Batang" w:hAnsi="Open Sans Light" w:cs="Open Sans Light"/>
                <w:color w:val="000000" w:themeColor="text1"/>
              </w:rPr>
            </w:pPr>
            <w:r w:rsidRPr="008A563C">
              <w:rPr>
                <w:rFonts w:ascii="Open Sans Light" w:eastAsia="Batang" w:hAnsi="Open Sans Light" w:cs="Open Sans Light"/>
                <w:color w:val="000000" w:themeColor="text1"/>
                <w:sz w:val="19"/>
                <w:szCs w:val="19"/>
              </w:rPr>
              <w:t>202</w:t>
            </w:r>
            <w:r>
              <w:rPr>
                <w:rFonts w:ascii="Open Sans Light" w:eastAsia="Batang" w:hAnsi="Open Sans Light" w:cs="Open Sans Light"/>
                <w:color w:val="000000" w:themeColor="text1"/>
                <w:sz w:val="19"/>
                <w:szCs w:val="19"/>
              </w:rPr>
              <w:t>2</w:t>
            </w:r>
          </w:p>
        </w:tc>
        <w:tc>
          <w:tcPr>
            <w:tcW w:w="661" w:type="dxa"/>
            <w:tcBorders>
              <w:top w:val="single" w:sz="4" w:space="0" w:color="auto"/>
              <w:left w:val="nil"/>
              <w:bottom w:val="single" w:sz="4" w:space="0" w:color="auto"/>
              <w:right w:val="nil"/>
            </w:tcBorders>
            <w:hideMark/>
          </w:tcPr>
          <w:p w14:paraId="249B510D" w14:textId="1194B4C2" w:rsidR="008A0C66" w:rsidRPr="008A563C" w:rsidRDefault="008A0C66" w:rsidP="00D86703">
            <w:pPr>
              <w:spacing w:after="120"/>
              <w:jc w:val="right"/>
              <w:rPr>
                <w:rFonts w:ascii="Open Sans Light" w:eastAsia="Batang" w:hAnsi="Open Sans Light" w:cs="Open Sans Light"/>
                <w:color w:val="000000" w:themeColor="text1"/>
              </w:rPr>
            </w:pPr>
            <w:r w:rsidRPr="008A563C">
              <w:rPr>
                <w:rFonts w:ascii="Open Sans Light" w:eastAsia="Batang" w:hAnsi="Open Sans Light" w:cs="Open Sans Light"/>
                <w:color w:val="000000" w:themeColor="text1"/>
                <w:sz w:val="19"/>
                <w:szCs w:val="19"/>
              </w:rPr>
              <w:t xml:space="preserve">Pst. </w:t>
            </w:r>
            <w:r w:rsidRPr="008A563C">
              <w:rPr>
                <w:rFonts w:ascii="Open Sans Light" w:eastAsia="Batang" w:hAnsi="Open Sans Light" w:cs="Open Sans Light"/>
                <w:color w:val="000000" w:themeColor="text1"/>
                <w:sz w:val="19"/>
                <w:szCs w:val="19"/>
              </w:rPr>
              <w:br/>
            </w:r>
            <w:proofErr w:type="spellStart"/>
            <w:r w:rsidRPr="008A563C">
              <w:rPr>
                <w:rFonts w:ascii="Open Sans Light" w:eastAsia="Batang" w:hAnsi="Open Sans Light" w:cs="Open Sans Light"/>
                <w:color w:val="000000" w:themeColor="text1"/>
                <w:sz w:val="19"/>
                <w:szCs w:val="19"/>
              </w:rPr>
              <w:t>endr</w:t>
            </w:r>
            <w:proofErr w:type="spellEnd"/>
          </w:p>
        </w:tc>
      </w:tr>
      <w:tr w:rsidR="008A0C66" w:rsidRPr="008A563C" w14:paraId="77DBB6B2" w14:textId="77777777" w:rsidTr="002063A6">
        <w:trPr>
          <w:trHeight w:val="444"/>
        </w:trPr>
        <w:tc>
          <w:tcPr>
            <w:tcW w:w="1721" w:type="dxa"/>
            <w:tcBorders>
              <w:top w:val="single" w:sz="4" w:space="0" w:color="auto"/>
              <w:left w:val="nil"/>
              <w:bottom w:val="nil"/>
              <w:right w:val="nil"/>
            </w:tcBorders>
            <w:hideMark/>
          </w:tcPr>
          <w:p w14:paraId="7656DFD7" w14:textId="77777777" w:rsidR="008A0C66" w:rsidRPr="008A563C" w:rsidRDefault="008A0C66" w:rsidP="00D86703">
            <w:pPr>
              <w:spacing w:after="120"/>
              <w:rPr>
                <w:rFonts w:ascii="Open Sans Light" w:eastAsia="Batang" w:hAnsi="Open Sans Light" w:cs="Open Sans Light"/>
                <w:color w:val="000000" w:themeColor="text1"/>
              </w:rPr>
            </w:pPr>
            <w:r w:rsidRPr="008A563C">
              <w:rPr>
                <w:rFonts w:ascii="Open Sans Light" w:eastAsia="Batang" w:hAnsi="Open Sans Light" w:cs="Open Sans Light"/>
                <w:color w:val="000000" w:themeColor="text1"/>
              </w:rPr>
              <w:t>Skatter i alt</w:t>
            </w:r>
          </w:p>
        </w:tc>
        <w:tc>
          <w:tcPr>
            <w:tcW w:w="1572" w:type="dxa"/>
            <w:tcBorders>
              <w:top w:val="single" w:sz="4" w:space="0" w:color="auto"/>
              <w:left w:val="nil"/>
              <w:bottom w:val="nil"/>
              <w:right w:val="nil"/>
            </w:tcBorders>
          </w:tcPr>
          <w:p w14:paraId="7DD62C2B" w14:textId="42FC6492" w:rsidR="008A0C66" w:rsidRPr="008A563C" w:rsidRDefault="008A0C6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203 300</w:t>
            </w:r>
          </w:p>
        </w:tc>
        <w:tc>
          <w:tcPr>
            <w:tcW w:w="1114" w:type="dxa"/>
            <w:tcBorders>
              <w:top w:val="single" w:sz="4" w:space="0" w:color="auto"/>
              <w:left w:val="nil"/>
              <w:bottom w:val="nil"/>
              <w:right w:val="nil"/>
            </w:tcBorders>
          </w:tcPr>
          <w:p w14:paraId="1C697193" w14:textId="260F6FF0" w:rsidR="008A0C66" w:rsidRPr="008A563C" w:rsidRDefault="008A0C6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203 465</w:t>
            </w:r>
          </w:p>
        </w:tc>
        <w:tc>
          <w:tcPr>
            <w:tcW w:w="886" w:type="dxa"/>
            <w:tcBorders>
              <w:top w:val="single" w:sz="4" w:space="0" w:color="auto"/>
              <w:left w:val="nil"/>
              <w:bottom w:val="nil"/>
              <w:right w:val="nil"/>
            </w:tcBorders>
          </w:tcPr>
          <w:p w14:paraId="1436C2F0" w14:textId="612F5AAF" w:rsidR="008A0C66" w:rsidRPr="008A563C" w:rsidRDefault="008A0C6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0,1</w:t>
            </w:r>
          </w:p>
        </w:tc>
        <w:tc>
          <w:tcPr>
            <w:tcW w:w="1026" w:type="dxa"/>
            <w:tcBorders>
              <w:top w:val="single" w:sz="4" w:space="0" w:color="auto"/>
              <w:left w:val="nil"/>
              <w:bottom w:val="nil"/>
              <w:right w:val="nil"/>
            </w:tcBorders>
          </w:tcPr>
          <w:p w14:paraId="13E11CF3" w14:textId="30CC471D" w:rsidR="008A0C66" w:rsidRPr="008A563C" w:rsidRDefault="008A0C6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38 800</w:t>
            </w:r>
          </w:p>
        </w:tc>
        <w:tc>
          <w:tcPr>
            <w:tcW w:w="881" w:type="dxa"/>
            <w:tcBorders>
              <w:top w:val="single" w:sz="4" w:space="0" w:color="auto"/>
              <w:left w:val="nil"/>
              <w:bottom w:val="nil"/>
              <w:right w:val="nil"/>
            </w:tcBorders>
          </w:tcPr>
          <w:p w14:paraId="3E204CC0" w14:textId="3748523C" w:rsidR="008A0C66" w:rsidRPr="008A563C" w:rsidRDefault="008A0C66" w:rsidP="00D86703">
            <w:pPr>
              <w:spacing w:after="120"/>
              <w:rPr>
                <w:rFonts w:ascii="Open Sans Light" w:eastAsia="Batang" w:hAnsi="Open Sans Light" w:cs="Open Sans Light"/>
                <w:color w:val="000000" w:themeColor="text1"/>
              </w:rPr>
            </w:pPr>
            <w:r>
              <w:rPr>
                <w:rFonts w:ascii="Open Sans Light" w:eastAsia="Batang" w:hAnsi="Open Sans Light" w:cs="Open Sans Light"/>
                <w:color w:val="000000" w:themeColor="text1"/>
              </w:rPr>
              <w:t>38 600</w:t>
            </w:r>
          </w:p>
        </w:tc>
        <w:tc>
          <w:tcPr>
            <w:tcW w:w="739" w:type="dxa"/>
            <w:tcBorders>
              <w:top w:val="single" w:sz="4" w:space="0" w:color="auto"/>
              <w:left w:val="nil"/>
              <w:bottom w:val="nil"/>
              <w:right w:val="nil"/>
            </w:tcBorders>
          </w:tcPr>
          <w:p w14:paraId="782D3D9C" w14:textId="74095B59" w:rsidR="008A0C66" w:rsidRPr="008A563C" w:rsidRDefault="008A0C6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-0,5</w:t>
            </w:r>
          </w:p>
        </w:tc>
        <w:tc>
          <w:tcPr>
            <w:tcW w:w="1026" w:type="dxa"/>
            <w:tcBorders>
              <w:top w:val="single" w:sz="4" w:space="0" w:color="auto"/>
              <w:left w:val="nil"/>
              <w:bottom w:val="nil"/>
              <w:right w:val="nil"/>
            </w:tcBorders>
          </w:tcPr>
          <w:p w14:paraId="7AA17E08" w14:textId="74DEBEC8" w:rsidR="008A0C66" w:rsidRPr="008A563C" w:rsidRDefault="008A0C6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242 100</w:t>
            </w:r>
          </w:p>
        </w:tc>
        <w:tc>
          <w:tcPr>
            <w:tcW w:w="1026" w:type="dxa"/>
            <w:tcBorders>
              <w:top w:val="single" w:sz="4" w:space="0" w:color="auto"/>
              <w:left w:val="nil"/>
              <w:bottom w:val="nil"/>
              <w:right w:val="nil"/>
            </w:tcBorders>
          </w:tcPr>
          <w:p w14:paraId="206CFC8F" w14:textId="59AC8E86" w:rsidR="008A0C66" w:rsidRPr="008A563C" w:rsidRDefault="008A0C6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242 065</w:t>
            </w:r>
          </w:p>
        </w:tc>
        <w:tc>
          <w:tcPr>
            <w:tcW w:w="661" w:type="dxa"/>
            <w:tcBorders>
              <w:top w:val="single" w:sz="4" w:space="0" w:color="auto"/>
              <w:left w:val="nil"/>
              <w:bottom w:val="nil"/>
              <w:right w:val="nil"/>
            </w:tcBorders>
          </w:tcPr>
          <w:p w14:paraId="1021B2F9" w14:textId="4F6AF21B" w:rsidR="008A0C66" w:rsidRPr="008A563C" w:rsidRDefault="008A0C6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0,0</w:t>
            </w:r>
          </w:p>
        </w:tc>
      </w:tr>
      <w:tr w:rsidR="008A0C66" w:rsidRPr="008A563C" w14:paraId="4B7DDA26" w14:textId="77777777" w:rsidTr="002063A6">
        <w:trPr>
          <w:trHeight w:val="747"/>
        </w:trPr>
        <w:tc>
          <w:tcPr>
            <w:tcW w:w="1721" w:type="dxa"/>
            <w:tcBorders>
              <w:top w:val="nil"/>
              <w:left w:val="nil"/>
              <w:bottom w:val="nil"/>
              <w:right w:val="nil"/>
            </w:tcBorders>
            <w:hideMark/>
          </w:tcPr>
          <w:p w14:paraId="42FCCC5D" w14:textId="77777777" w:rsidR="008A0C66" w:rsidRPr="008A563C" w:rsidRDefault="008A0C66" w:rsidP="00D86703">
            <w:pPr>
              <w:spacing w:after="120"/>
              <w:rPr>
                <w:rFonts w:ascii="Open Sans Light" w:eastAsia="Batang" w:hAnsi="Open Sans Light" w:cs="Open Sans Light"/>
                <w:i/>
                <w:color w:val="000000" w:themeColor="text1"/>
              </w:rPr>
            </w:pPr>
            <w:r w:rsidRPr="008A563C">
              <w:rPr>
                <w:rFonts w:ascii="Open Sans Light" w:eastAsia="Batang" w:hAnsi="Open Sans Light" w:cs="Open Sans Light"/>
                <w:i/>
                <w:color w:val="000000" w:themeColor="text1"/>
              </w:rPr>
              <w:t xml:space="preserve">Herav skatt på </w:t>
            </w:r>
            <w:r w:rsidRPr="008A563C">
              <w:rPr>
                <w:rFonts w:ascii="Open Sans Light" w:eastAsia="Batang" w:hAnsi="Open Sans Light" w:cs="Open Sans Light"/>
                <w:i/>
                <w:color w:val="000000" w:themeColor="text1"/>
              </w:rPr>
              <w:br/>
              <w:t>inntekt og formue</w:t>
            </w:r>
          </w:p>
        </w:tc>
        <w:tc>
          <w:tcPr>
            <w:tcW w:w="1572" w:type="dxa"/>
            <w:tcBorders>
              <w:top w:val="nil"/>
              <w:left w:val="nil"/>
              <w:bottom w:val="nil"/>
              <w:right w:val="nil"/>
            </w:tcBorders>
          </w:tcPr>
          <w:p w14:paraId="7738F5CE" w14:textId="7B49390E" w:rsidR="008A0C66" w:rsidRPr="008A563C" w:rsidRDefault="00DF32D6" w:rsidP="00D86703">
            <w:pPr>
              <w:spacing w:after="120"/>
              <w:jc w:val="right"/>
              <w:rPr>
                <w:rFonts w:ascii="Open Sans Light" w:eastAsia="Batang" w:hAnsi="Open Sans Light" w:cs="Open Sans Light"/>
                <w:i/>
                <w:color w:val="000000" w:themeColor="text1"/>
              </w:rPr>
            </w:pPr>
            <w:r>
              <w:rPr>
                <w:rFonts w:ascii="Open Sans Light" w:eastAsia="Batang" w:hAnsi="Open Sans Light" w:cs="Open Sans Light"/>
                <w:i/>
                <w:color w:val="000000" w:themeColor="text1"/>
              </w:rPr>
              <w:t>188 400</w:t>
            </w:r>
          </w:p>
        </w:tc>
        <w:tc>
          <w:tcPr>
            <w:tcW w:w="1114" w:type="dxa"/>
            <w:tcBorders>
              <w:top w:val="nil"/>
              <w:left w:val="nil"/>
              <w:bottom w:val="nil"/>
              <w:right w:val="nil"/>
            </w:tcBorders>
          </w:tcPr>
          <w:p w14:paraId="5F3AE0DC" w14:textId="4AC536E9" w:rsidR="008A0C66" w:rsidRPr="008A563C" w:rsidRDefault="00DF32D6" w:rsidP="00D86703">
            <w:pPr>
              <w:spacing w:after="120"/>
              <w:jc w:val="right"/>
              <w:rPr>
                <w:rFonts w:ascii="Open Sans Light" w:eastAsia="Batang" w:hAnsi="Open Sans Light" w:cs="Open Sans Light"/>
                <w:i/>
                <w:color w:val="000000" w:themeColor="text1"/>
              </w:rPr>
            </w:pPr>
            <w:r>
              <w:rPr>
                <w:rFonts w:ascii="Open Sans Light" w:eastAsia="Batang" w:hAnsi="Open Sans Light" w:cs="Open Sans Light"/>
                <w:i/>
                <w:color w:val="000000" w:themeColor="text1"/>
              </w:rPr>
              <w:t>188 300</w:t>
            </w:r>
          </w:p>
        </w:tc>
        <w:tc>
          <w:tcPr>
            <w:tcW w:w="886" w:type="dxa"/>
            <w:tcBorders>
              <w:top w:val="nil"/>
              <w:left w:val="nil"/>
              <w:bottom w:val="nil"/>
              <w:right w:val="nil"/>
            </w:tcBorders>
          </w:tcPr>
          <w:p w14:paraId="70D15007" w14:textId="7E144058" w:rsidR="008A0C66" w:rsidRPr="008A563C" w:rsidRDefault="00DF32D6" w:rsidP="00D86703">
            <w:pPr>
              <w:spacing w:after="120"/>
              <w:jc w:val="right"/>
              <w:rPr>
                <w:rFonts w:ascii="Open Sans Light" w:eastAsia="Batang" w:hAnsi="Open Sans Light" w:cs="Open Sans Light"/>
                <w:i/>
                <w:color w:val="000000" w:themeColor="text1"/>
              </w:rPr>
            </w:pPr>
            <w:r>
              <w:rPr>
                <w:rFonts w:ascii="Open Sans Light" w:eastAsia="Batang" w:hAnsi="Open Sans Light" w:cs="Open Sans Light"/>
                <w:i/>
                <w:color w:val="000000" w:themeColor="text1"/>
              </w:rPr>
              <w:t>-0,1</w:t>
            </w:r>
          </w:p>
        </w:tc>
        <w:tc>
          <w:tcPr>
            <w:tcW w:w="1026" w:type="dxa"/>
            <w:tcBorders>
              <w:top w:val="nil"/>
              <w:left w:val="nil"/>
              <w:bottom w:val="nil"/>
              <w:right w:val="nil"/>
            </w:tcBorders>
          </w:tcPr>
          <w:p w14:paraId="28F82344" w14:textId="234C0EE6" w:rsidR="008A0C66" w:rsidRPr="008A563C" w:rsidRDefault="00DF32D6" w:rsidP="00D86703">
            <w:pPr>
              <w:spacing w:after="120"/>
              <w:jc w:val="right"/>
              <w:rPr>
                <w:rFonts w:ascii="Open Sans Light" w:eastAsia="Batang" w:hAnsi="Open Sans Light" w:cs="Open Sans Light"/>
                <w:i/>
                <w:color w:val="000000" w:themeColor="text1"/>
              </w:rPr>
            </w:pPr>
            <w:r>
              <w:rPr>
                <w:rFonts w:ascii="Open Sans Light" w:eastAsia="Batang" w:hAnsi="Open Sans Light" w:cs="Open Sans Light"/>
                <w:i/>
                <w:color w:val="000000" w:themeColor="text1"/>
              </w:rPr>
              <w:t>38 800</w:t>
            </w:r>
          </w:p>
        </w:tc>
        <w:tc>
          <w:tcPr>
            <w:tcW w:w="881" w:type="dxa"/>
            <w:tcBorders>
              <w:top w:val="nil"/>
              <w:left w:val="nil"/>
              <w:bottom w:val="nil"/>
              <w:right w:val="nil"/>
            </w:tcBorders>
          </w:tcPr>
          <w:p w14:paraId="526DB1F5" w14:textId="17C1E344" w:rsidR="008A0C66" w:rsidRPr="008A563C" w:rsidRDefault="00DF32D6" w:rsidP="00D86703">
            <w:pPr>
              <w:spacing w:after="120"/>
              <w:jc w:val="right"/>
              <w:rPr>
                <w:rFonts w:ascii="Open Sans Light" w:eastAsia="Batang" w:hAnsi="Open Sans Light" w:cs="Open Sans Light"/>
                <w:i/>
                <w:color w:val="000000" w:themeColor="text1"/>
              </w:rPr>
            </w:pPr>
            <w:r>
              <w:rPr>
                <w:rFonts w:ascii="Open Sans Light" w:eastAsia="Batang" w:hAnsi="Open Sans Light" w:cs="Open Sans Light"/>
                <w:i/>
                <w:color w:val="000000" w:themeColor="text1"/>
              </w:rPr>
              <w:t>38 600</w:t>
            </w:r>
          </w:p>
        </w:tc>
        <w:tc>
          <w:tcPr>
            <w:tcW w:w="739" w:type="dxa"/>
            <w:tcBorders>
              <w:top w:val="nil"/>
              <w:left w:val="nil"/>
              <w:bottom w:val="nil"/>
              <w:right w:val="nil"/>
            </w:tcBorders>
          </w:tcPr>
          <w:p w14:paraId="5550DE11" w14:textId="0EB7F30D" w:rsidR="008A0C66" w:rsidRPr="008A563C" w:rsidRDefault="00DF32D6" w:rsidP="00D86703">
            <w:pPr>
              <w:spacing w:after="120"/>
              <w:jc w:val="right"/>
              <w:rPr>
                <w:rFonts w:ascii="Open Sans Light" w:eastAsia="Batang" w:hAnsi="Open Sans Light" w:cs="Open Sans Light"/>
                <w:i/>
                <w:color w:val="000000" w:themeColor="text1"/>
              </w:rPr>
            </w:pPr>
            <w:r>
              <w:rPr>
                <w:rFonts w:ascii="Open Sans Light" w:eastAsia="Batang" w:hAnsi="Open Sans Light" w:cs="Open Sans Light"/>
                <w:i/>
                <w:color w:val="000000" w:themeColor="text1"/>
              </w:rPr>
              <w:t>-0,5</w:t>
            </w:r>
          </w:p>
        </w:tc>
        <w:tc>
          <w:tcPr>
            <w:tcW w:w="1026" w:type="dxa"/>
            <w:tcBorders>
              <w:top w:val="nil"/>
              <w:left w:val="nil"/>
              <w:bottom w:val="nil"/>
              <w:right w:val="nil"/>
            </w:tcBorders>
          </w:tcPr>
          <w:p w14:paraId="1A6418C1" w14:textId="3493BC09" w:rsidR="008A0C66" w:rsidRPr="008A563C" w:rsidRDefault="00DF32D6" w:rsidP="00D86703">
            <w:pPr>
              <w:spacing w:after="120"/>
              <w:jc w:val="right"/>
              <w:rPr>
                <w:rFonts w:ascii="Open Sans Light" w:eastAsia="Batang" w:hAnsi="Open Sans Light" w:cs="Open Sans Light"/>
                <w:i/>
                <w:color w:val="000000" w:themeColor="text1"/>
              </w:rPr>
            </w:pPr>
            <w:r>
              <w:rPr>
                <w:rFonts w:ascii="Open Sans Light" w:eastAsia="Batang" w:hAnsi="Open Sans Light" w:cs="Open Sans Light"/>
                <w:i/>
                <w:color w:val="000000" w:themeColor="text1"/>
              </w:rPr>
              <w:t>227 200</w:t>
            </w:r>
          </w:p>
        </w:tc>
        <w:tc>
          <w:tcPr>
            <w:tcW w:w="1026" w:type="dxa"/>
            <w:tcBorders>
              <w:top w:val="nil"/>
              <w:left w:val="nil"/>
              <w:bottom w:val="nil"/>
              <w:right w:val="nil"/>
            </w:tcBorders>
          </w:tcPr>
          <w:p w14:paraId="0D167125" w14:textId="6B1D7C49" w:rsidR="008A0C66" w:rsidRPr="008A563C" w:rsidRDefault="00DF32D6" w:rsidP="00D86703">
            <w:pPr>
              <w:spacing w:after="120"/>
              <w:jc w:val="right"/>
              <w:rPr>
                <w:rFonts w:ascii="Open Sans Light" w:eastAsia="Batang" w:hAnsi="Open Sans Light" w:cs="Open Sans Light"/>
                <w:i/>
                <w:color w:val="000000" w:themeColor="text1"/>
              </w:rPr>
            </w:pPr>
            <w:r>
              <w:rPr>
                <w:rFonts w:ascii="Open Sans Light" w:eastAsia="Batang" w:hAnsi="Open Sans Light" w:cs="Open Sans Light"/>
                <w:i/>
                <w:color w:val="000000" w:themeColor="text1"/>
              </w:rPr>
              <w:t>226 900</w:t>
            </w:r>
          </w:p>
        </w:tc>
        <w:tc>
          <w:tcPr>
            <w:tcW w:w="661" w:type="dxa"/>
            <w:tcBorders>
              <w:top w:val="nil"/>
              <w:left w:val="nil"/>
              <w:bottom w:val="nil"/>
              <w:right w:val="nil"/>
            </w:tcBorders>
          </w:tcPr>
          <w:p w14:paraId="30FF416E" w14:textId="4602E71D" w:rsidR="008A0C66" w:rsidRPr="008A563C" w:rsidRDefault="00DF32D6" w:rsidP="00D86703">
            <w:pPr>
              <w:spacing w:after="120"/>
              <w:jc w:val="right"/>
              <w:rPr>
                <w:rFonts w:ascii="Open Sans Light" w:eastAsia="Batang" w:hAnsi="Open Sans Light" w:cs="Open Sans Light"/>
                <w:i/>
                <w:color w:val="000000" w:themeColor="text1"/>
              </w:rPr>
            </w:pPr>
            <w:r>
              <w:rPr>
                <w:rFonts w:ascii="Open Sans Light" w:eastAsia="Batang" w:hAnsi="Open Sans Light" w:cs="Open Sans Light"/>
                <w:i/>
                <w:color w:val="000000" w:themeColor="text1"/>
              </w:rPr>
              <w:t>-0,1</w:t>
            </w:r>
          </w:p>
        </w:tc>
      </w:tr>
      <w:tr w:rsidR="008A0C66" w:rsidRPr="008A563C" w14:paraId="0A51909A" w14:textId="77777777" w:rsidTr="002063A6">
        <w:trPr>
          <w:trHeight w:val="444"/>
        </w:trPr>
        <w:tc>
          <w:tcPr>
            <w:tcW w:w="1721" w:type="dxa"/>
            <w:tcBorders>
              <w:top w:val="nil"/>
              <w:left w:val="nil"/>
              <w:bottom w:val="single" w:sz="4" w:space="0" w:color="auto"/>
              <w:right w:val="nil"/>
            </w:tcBorders>
            <w:hideMark/>
          </w:tcPr>
          <w:p w14:paraId="3626BEB2" w14:textId="77777777" w:rsidR="008A0C66" w:rsidRPr="008A563C" w:rsidRDefault="008A0C66" w:rsidP="00D86703">
            <w:pPr>
              <w:spacing w:after="120"/>
              <w:rPr>
                <w:rFonts w:ascii="Open Sans Light" w:eastAsia="Batang" w:hAnsi="Open Sans Light" w:cs="Open Sans Light"/>
                <w:color w:val="000000" w:themeColor="text1"/>
              </w:rPr>
            </w:pPr>
            <w:r w:rsidRPr="008A563C">
              <w:rPr>
                <w:rFonts w:ascii="Open Sans Light" w:eastAsia="Batang" w:hAnsi="Open Sans Light" w:cs="Open Sans Light"/>
                <w:color w:val="000000" w:themeColor="text1"/>
              </w:rPr>
              <w:t xml:space="preserve">Rammetilskudd </w:t>
            </w:r>
          </w:p>
        </w:tc>
        <w:tc>
          <w:tcPr>
            <w:tcW w:w="1572" w:type="dxa"/>
            <w:tcBorders>
              <w:top w:val="nil"/>
              <w:left w:val="nil"/>
              <w:bottom w:val="single" w:sz="4" w:space="0" w:color="auto"/>
              <w:right w:val="nil"/>
            </w:tcBorders>
          </w:tcPr>
          <w:p w14:paraId="076E72CE" w14:textId="5BB4C1FE" w:rsidR="008A0C66" w:rsidRPr="008A563C" w:rsidRDefault="00DF32D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144 321</w:t>
            </w:r>
          </w:p>
        </w:tc>
        <w:tc>
          <w:tcPr>
            <w:tcW w:w="1114" w:type="dxa"/>
            <w:tcBorders>
              <w:top w:val="nil"/>
              <w:left w:val="nil"/>
              <w:bottom w:val="single" w:sz="4" w:space="0" w:color="auto"/>
              <w:right w:val="nil"/>
            </w:tcBorders>
          </w:tcPr>
          <w:p w14:paraId="33370EE5" w14:textId="31B05015" w:rsidR="008A0C66" w:rsidRPr="008A563C" w:rsidRDefault="00DF32D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149 278</w:t>
            </w:r>
          </w:p>
        </w:tc>
        <w:tc>
          <w:tcPr>
            <w:tcW w:w="886" w:type="dxa"/>
            <w:tcBorders>
              <w:top w:val="nil"/>
              <w:left w:val="nil"/>
              <w:bottom w:val="single" w:sz="4" w:space="0" w:color="auto"/>
              <w:right w:val="nil"/>
            </w:tcBorders>
          </w:tcPr>
          <w:p w14:paraId="62433AA9" w14:textId="2030BB1A" w:rsidR="008A0C66" w:rsidRPr="008A563C" w:rsidRDefault="008A0C6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w:t>
            </w:r>
            <w:r w:rsidR="00DF32D6">
              <w:rPr>
                <w:rFonts w:ascii="Open Sans Light" w:eastAsia="Batang" w:hAnsi="Open Sans Light" w:cs="Open Sans Light"/>
                <w:color w:val="000000" w:themeColor="text1"/>
              </w:rPr>
              <w:t>3,4</w:t>
            </w:r>
          </w:p>
        </w:tc>
        <w:tc>
          <w:tcPr>
            <w:tcW w:w="1026" w:type="dxa"/>
            <w:tcBorders>
              <w:top w:val="nil"/>
              <w:left w:val="nil"/>
              <w:bottom w:val="single" w:sz="4" w:space="0" w:color="auto"/>
              <w:right w:val="nil"/>
            </w:tcBorders>
          </w:tcPr>
          <w:p w14:paraId="482E4C92" w14:textId="4BA2F87B" w:rsidR="008A0C66" w:rsidRPr="008A563C" w:rsidRDefault="00DF32D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38 400</w:t>
            </w:r>
          </w:p>
        </w:tc>
        <w:tc>
          <w:tcPr>
            <w:tcW w:w="881" w:type="dxa"/>
            <w:tcBorders>
              <w:top w:val="nil"/>
              <w:left w:val="nil"/>
              <w:bottom w:val="single" w:sz="4" w:space="0" w:color="auto"/>
              <w:right w:val="nil"/>
            </w:tcBorders>
          </w:tcPr>
          <w:p w14:paraId="333C5B73" w14:textId="53007823" w:rsidR="008A0C66" w:rsidRPr="008A563C" w:rsidRDefault="00DF32D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40 083</w:t>
            </w:r>
          </w:p>
        </w:tc>
        <w:tc>
          <w:tcPr>
            <w:tcW w:w="739" w:type="dxa"/>
            <w:tcBorders>
              <w:top w:val="nil"/>
              <w:left w:val="nil"/>
              <w:bottom w:val="single" w:sz="4" w:space="0" w:color="auto"/>
              <w:right w:val="nil"/>
            </w:tcBorders>
          </w:tcPr>
          <w:p w14:paraId="2D8D1F86" w14:textId="5E6C5DA3" w:rsidR="008A0C66" w:rsidRPr="008A563C" w:rsidRDefault="00DF32D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4,4</w:t>
            </w:r>
          </w:p>
        </w:tc>
        <w:tc>
          <w:tcPr>
            <w:tcW w:w="1026" w:type="dxa"/>
            <w:tcBorders>
              <w:top w:val="nil"/>
              <w:left w:val="nil"/>
              <w:bottom w:val="single" w:sz="4" w:space="0" w:color="auto"/>
              <w:right w:val="nil"/>
            </w:tcBorders>
          </w:tcPr>
          <w:p w14:paraId="19FF1BDE" w14:textId="5261EC6F" w:rsidR="008A0C66" w:rsidRPr="008A563C" w:rsidRDefault="00DF32D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182 726</w:t>
            </w:r>
          </w:p>
        </w:tc>
        <w:tc>
          <w:tcPr>
            <w:tcW w:w="1026" w:type="dxa"/>
            <w:tcBorders>
              <w:top w:val="nil"/>
              <w:left w:val="nil"/>
              <w:bottom w:val="single" w:sz="4" w:space="0" w:color="auto"/>
              <w:right w:val="nil"/>
            </w:tcBorders>
          </w:tcPr>
          <w:p w14:paraId="6ADCD25C" w14:textId="763899EF" w:rsidR="008A0C66" w:rsidRPr="008A563C" w:rsidRDefault="00DF32D6" w:rsidP="00D86703">
            <w:pPr>
              <w:spacing w:after="120"/>
              <w:rPr>
                <w:rFonts w:ascii="Open Sans Light" w:eastAsia="Batang" w:hAnsi="Open Sans Light" w:cs="Open Sans Light"/>
                <w:color w:val="000000" w:themeColor="text1"/>
              </w:rPr>
            </w:pPr>
            <w:r>
              <w:rPr>
                <w:rFonts w:ascii="Open Sans Light" w:eastAsia="Batang" w:hAnsi="Open Sans Light" w:cs="Open Sans Light"/>
                <w:color w:val="000000" w:themeColor="text1"/>
              </w:rPr>
              <w:t>189 361</w:t>
            </w:r>
          </w:p>
        </w:tc>
        <w:tc>
          <w:tcPr>
            <w:tcW w:w="661" w:type="dxa"/>
            <w:tcBorders>
              <w:top w:val="nil"/>
              <w:left w:val="nil"/>
              <w:bottom w:val="single" w:sz="4" w:space="0" w:color="auto"/>
              <w:right w:val="nil"/>
            </w:tcBorders>
          </w:tcPr>
          <w:p w14:paraId="347F14E6" w14:textId="4E085737" w:rsidR="008A0C66" w:rsidRPr="008A563C" w:rsidRDefault="00DF32D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3,6</w:t>
            </w:r>
          </w:p>
        </w:tc>
      </w:tr>
      <w:tr w:rsidR="008A0C66" w:rsidRPr="008A563C" w14:paraId="74AAA3BC" w14:textId="77777777" w:rsidTr="002063A6">
        <w:trPr>
          <w:trHeight w:val="444"/>
        </w:trPr>
        <w:tc>
          <w:tcPr>
            <w:tcW w:w="1721" w:type="dxa"/>
            <w:tcBorders>
              <w:top w:val="single" w:sz="4" w:space="0" w:color="auto"/>
              <w:left w:val="nil"/>
              <w:bottom w:val="single" w:sz="4" w:space="0" w:color="auto"/>
              <w:right w:val="nil"/>
            </w:tcBorders>
            <w:hideMark/>
          </w:tcPr>
          <w:p w14:paraId="76251DA3" w14:textId="77777777" w:rsidR="008A0C66" w:rsidRPr="008A563C" w:rsidRDefault="008A0C66" w:rsidP="00D86703">
            <w:pPr>
              <w:spacing w:after="120"/>
              <w:rPr>
                <w:rFonts w:ascii="Open Sans Light" w:eastAsia="Batang" w:hAnsi="Open Sans Light" w:cs="Open Sans Light"/>
                <w:color w:val="000000" w:themeColor="text1"/>
              </w:rPr>
            </w:pPr>
            <w:r w:rsidRPr="008A563C">
              <w:rPr>
                <w:rFonts w:ascii="Open Sans Light" w:eastAsia="Batang" w:hAnsi="Open Sans Light" w:cs="Open Sans Light"/>
                <w:color w:val="000000" w:themeColor="text1"/>
              </w:rPr>
              <w:t>Sum frie inntekter</w:t>
            </w:r>
          </w:p>
        </w:tc>
        <w:tc>
          <w:tcPr>
            <w:tcW w:w="1572" w:type="dxa"/>
            <w:tcBorders>
              <w:top w:val="single" w:sz="4" w:space="0" w:color="auto"/>
              <w:left w:val="nil"/>
              <w:bottom w:val="single" w:sz="4" w:space="0" w:color="auto"/>
              <w:right w:val="nil"/>
            </w:tcBorders>
          </w:tcPr>
          <w:p w14:paraId="08EEF12D" w14:textId="21A111B6" w:rsidR="008A0C66" w:rsidRPr="008A563C" w:rsidRDefault="00DF32D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347 621</w:t>
            </w:r>
          </w:p>
        </w:tc>
        <w:tc>
          <w:tcPr>
            <w:tcW w:w="1114" w:type="dxa"/>
            <w:tcBorders>
              <w:top w:val="single" w:sz="4" w:space="0" w:color="auto"/>
              <w:left w:val="nil"/>
              <w:bottom w:val="single" w:sz="4" w:space="0" w:color="auto"/>
              <w:right w:val="nil"/>
            </w:tcBorders>
          </w:tcPr>
          <w:p w14:paraId="51A701AB" w14:textId="0A2A887F" w:rsidR="008A0C66" w:rsidRPr="008A563C" w:rsidRDefault="00DF32D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352 743</w:t>
            </w:r>
          </w:p>
        </w:tc>
        <w:tc>
          <w:tcPr>
            <w:tcW w:w="886" w:type="dxa"/>
            <w:tcBorders>
              <w:top w:val="single" w:sz="4" w:space="0" w:color="auto"/>
              <w:left w:val="nil"/>
              <w:bottom w:val="single" w:sz="4" w:space="0" w:color="auto"/>
              <w:right w:val="nil"/>
            </w:tcBorders>
          </w:tcPr>
          <w:p w14:paraId="0EF7F16A" w14:textId="6B4EEB87" w:rsidR="008A0C66" w:rsidRPr="008A563C" w:rsidRDefault="00DF32D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1,5</w:t>
            </w:r>
          </w:p>
        </w:tc>
        <w:tc>
          <w:tcPr>
            <w:tcW w:w="1026" w:type="dxa"/>
            <w:tcBorders>
              <w:top w:val="single" w:sz="4" w:space="0" w:color="auto"/>
              <w:left w:val="nil"/>
              <w:bottom w:val="single" w:sz="4" w:space="0" w:color="auto"/>
              <w:right w:val="nil"/>
            </w:tcBorders>
          </w:tcPr>
          <w:p w14:paraId="58F51F63" w14:textId="6411CDD4" w:rsidR="008A0C66" w:rsidRPr="008A563C" w:rsidRDefault="00DF32D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77 204</w:t>
            </w:r>
          </w:p>
        </w:tc>
        <w:tc>
          <w:tcPr>
            <w:tcW w:w="881" w:type="dxa"/>
            <w:tcBorders>
              <w:top w:val="single" w:sz="4" w:space="0" w:color="auto"/>
              <w:left w:val="nil"/>
              <w:bottom w:val="single" w:sz="4" w:space="0" w:color="auto"/>
              <w:right w:val="nil"/>
            </w:tcBorders>
          </w:tcPr>
          <w:p w14:paraId="4EC1F56D" w14:textId="10117AF9" w:rsidR="008A0C66" w:rsidRPr="008A563C" w:rsidRDefault="00DF32D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78 683</w:t>
            </w:r>
          </w:p>
        </w:tc>
        <w:tc>
          <w:tcPr>
            <w:tcW w:w="739" w:type="dxa"/>
            <w:tcBorders>
              <w:top w:val="single" w:sz="4" w:space="0" w:color="auto"/>
              <w:left w:val="nil"/>
              <w:bottom w:val="single" w:sz="4" w:space="0" w:color="auto"/>
              <w:right w:val="nil"/>
            </w:tcBorders>
          </w:tcPr>
          <w:p w14:paraId="01F135FC" w14:textId="653492C7" w:rsidR="008A0C66" w:rsidRPr="008A563C" w:rsidRDefault="00DF32D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1,9</w:t>
            </w:r>
          </w:p>
        </w:tc>
        <w:tc>
          <w:tcPr>
            <w:tcW w:w="1026" w:type="dxa"/>
            <w:tcBorders>
              <w:top w:val="single" w:sz="4" w:space="0" w:color="auto"/>
              <w:left w:val="nil"/>
              <w:bottom w:val="single" w:sz="4" w:space="0" w:color="auto"/>
              <w:right w:val="nil"/>
            </w:tcBorders>
          </w:tcPr>
          <w:p w14:paraId="1DB0C0CB" w14:textId="1FA8A2D9" w:rsidR="008A0C66" w:rsidRPr="008A563C" w:rsidRDefault="00DF32D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424 825</w:t>
            </w:r>
          </w:p>
        </w:tc>
        <w:tc>
          <w:tcPr>
            <w:tcW w:w="1026" w:type="dxa"/>
            <w:tcBorders>
              <w:top w:val="single" w:sz="4" w:space="0" w:color="auto"/>
              <w:left w:val="nil"/>
              <w:bottom w:val="single" w:sz="4" w:space="0" w:color="auto"/>
              <w:right w:val="nil"/>
            </w:tcBorders>
          </w:tcPr>
          <w:p w14:paraId="20E0E0BA" w14:textId="191D3B65" w:rsidR="008A0C66" w:rsidRPr="008A563C" w:rsidRDefault="00DF32D6" w:rsidP="00D86703">
            <w:pPr>
              <w:spacing w:after="120"/>
              <w:rPr>
                <w:rFonts w:ascii="Open Sans Light" w:eastAsia="Batang" w:hAnsi="Open Sans Light" w:cs="Open Sans Light"/>
                <w:color w:val="000000" w:themeColor="text1"/>
              </w:rPr>
            </w:pPr>
            <w:r>
              <w:rPr>
                <w:rFonts w:ascii="Open Sans Light" w:eastAsia="Batang" w:hAnsi="Open Sans Light" w:cs="Open Sans Light"/>
                <w:color w:val="000000" w:themeColor="text1"/>
              </w:rPr>
              <w:t>431 426</w:t>
            </w:r>
          </w:p>
        </w:tc>
        <w:tc>
          <w:tcPr>
            <w:tcW w:w="661" w:type="dxa"/>
            <w:tcBorders>
              <w:top w:val="single" w:sz="4" w:space="0" w:color="auto"/>
              <w:left w:val="nil"/>
              <w:bottom w:val="single" w:sz="4" w:space="0" w:color="auto"/>
              <w:right w:val="nil"/>
            </w:tcBorders>
          </w:tcPr>
          <w:p w14:paraId="6E19F3CB" w14:textId="17A5D13E" w:rsidR="008A0C66" w:rsidRPr="008A563C" w:rsidRDefault="00DF32D6" w:rsidP="00D86703">
            <w:pPr>
              <w:spacing w:after="120"/>
              <w:jc w:val="right"/>
              <w:rPr>
                <w:rFonts w:ascii="Open Sans Light" w:eastAsia="Batang" w:hAnsi="Open Sans Light" w:cs="Open Sans Light"/>
                <w:color w:val="000000" w:themeColor="text1"/>
              </w:rPr>
            </w:pPr>
            <w:r>
              <w:rPr>
                <w:rFonts w:ascii="Open Sans Light" w:eastAsia="Batang" w:hAnsi="Open Sans Light" w:cs="Open Sans Light"/>
                <w:color w:val="000000" w:themeColor="text1"/>
              </w:rPr>
              <w:t>1,6</w:t>
            </w:r>
          </w:p>
        </w:tc>
      </w:tr>
    </w:tbl>
    <w:p w14:paraId="51586034" w14:textId="7696D154" w:rsidR="008A0C66" w:rsidRPr="008A563C" w:rsidRDefault="008A0C66" w:rsidP="00AE712D">
      <w:pPr>
        <w:spacing w:after="0" w:line="240" w:lineRule="auto"/>
        <w:rPr>
          <w:rFonts w:ascii="Open Sans Light" w:eastAsia="Batang" w:hAnsi="Open Sans Light" w:cs="Open Sans Light"/>
          <w:color w:val="000000" w:themeColor="text1"/>
          <w:sz w:val="18"/>
          <w:szCs w:val="18"/>
          <w:vertAlign w:val="superscript"/>
        </w:rPr>
      </w:pPr>
      <w:r w:rsidRPr="008A563C">
        <w:rPr>
          <w:rFonts w:ascii="Open Sans Light" w:eastAsia="Batang" w:hAnsi="Open Sans Light" w:cs="Open Sans Light"/>
          <w:color w:val="000000" w:themeColor="text1"/>
          <w:sz w:val="18"/>
          <w:szCs w:val="18"/>
          <w:vertAlign w:val="superscript"/>
        </w:rPr>
        <w:t>1</w:t>
      </w:r>
      <w:r w:rsidRPr="008A563C">
        <w:rPr>
          <w:rFonts w:ascii="Open Sans Light" w:eastAsia="Batang" w:hAnsi="Open Sans Light" w:cs="Open Sans Light"/>
          <w:color w:val="000000" w:themeColor="text1"/>
          <w:sz w:val="18"/>
          <w:szCs w:val="18"/>
        </w:rPr>
        <w:t xml:space="preserve"> Prisveksten i kommunesektoren i 202</w:t>
      </w:r>
      <w:r w:rsidR="00DF32D6">
        <w:rPr>
          <w:rFonts w:ascii="Open Sans Light" w:eastAsia="Batang" w:hAnsi="Open Sans Light" w:cs="Open Sans Light"/>
          <w:color w:val="000000" w:themeColor="text1"/>
          <w:sz w:val="18"/>
          <w:szCs w:val="18"/>
        </w:rPr>
        <w:t>2 (</w:t>
      </w:r>
      <w:r w:rsidRPr="008A563C">
        <w:rPr>
          <w:rFonts w:ascii="Open Sans Light" w:eastAsia="Batang" w:hAnsi="Open Sans Light" w:cs="Open Sans Light"/>
          <w:color w:val="000000" w:themeColor="text1"/>
          <w:sz w:val="18"/>
          <w:szCs w:val="18"/>
        </w:rPr>
        <w:t xml:space="preserve">deflator) er anslått til </w:t>
      </w:r>
      <w:r>
        <w:rPr>
          <w:rFonts w:ascii="Open Sans Light" w:eastAsia="Batang" w:hAnsi="Open Sans Light" w:cs="Open Sans Light"/>
          <w:color w:val="000000" w:themeColor="text1"/>
          <w:sz w:val="18"/>
          <w:szCs w:val="18"/>
        </w:rPr>
        <w:t>2,</w:t>
      </w:r>
      <w:r w:rsidR="00DF32D6">
        <w:rPr>
          <w:rFonts w:ascii="Open Sans Light" w:eastAsia="Batang" w:hAnsi="Open Sans Light" w:cs="Open Sans Light"/>
          <w:color w:val="000000" w:themeColor="text1"/>
          <w:sz w:val="18"/>
          <w:szCs w:val="18"/>
        </w:rPr>
        <w:t>5</w:t>
      </w:r>
      <w:r w:rsidRPr="008A563C">
        <w:rPr>
          <w:rFonts w:ascii="Open Sans Light" w:eastAsia="Batang" w:hAnsi="Open Sans Light" w:cs="Open Sans Light"/>
          <w:color w:val="000000" w:themeColor="text1"/>
          <w:sz w:val="18"/>
          <w:szCs w:val="18"/>
        </w:rPr>
        <w:t xml:space="preserve"> pst.</w:t>
      </w:r>
    </w:p>
    <w:p w14:paraId="466F7CF0" w14:textId="77777777" w:rsidR="008A0C66" w:rsidRPr="008A563C" w:rsidRDefault="008A0C66" w:rsidP="00AE712D">
      <w:pPr>
        <w:spacing w:after="0" w:line="240" w:lineRule="auto"/>
        <w:rPr>
          <w:rFonts w:ascii="Open Sans Light" w:eastAsia="Batang" w:hAnsi="Open Sans Light" w:cs="Open Sans Light"/>
          <w:color w:val="000000" w:themeColor="text1"/>
          <w:sz w:val="18"/>
          <w:szCs w:val="18"/>
          <w:vertAlign w:val="superscript"/>
        </w:rPr>
      </w:pPr>
      <w:r w:rsidRPr="008A563C">
        <w:rPr>
          <w:rFonts w:ascii="Open Sans Light" w:eastAsia="Batang" w:hAnsi="Open Sans Light" w:cs="Open Sans Light"/>
          <w:color w:val="000000" w:themeColor="text1"/>
          <w:sz w:val="18"/>
          <w:szCs w:val="18"/>
          <w:vertAlign w:val="superscript"/>
        </w:rPr>
        <w:t>2</w:t>
      </w:r>
      <w:r w:rsidRPr="008A563C">
        <w:rPr>
          <w:rFonts w:ascii="Open Sans Light" w:eastAsia="Batang" w:hAnsi="Open Sans Light" w:cs="Open Sans Light"/>
          <w:color w:val="000000" w:themeColor="text1"/>
          <w:sz w:val="18"/>
          <w:szCs w:val="18"/>
        </w:rPr>
        <w:t xml:space="preserve"> Oslo er delt i en kommunedel og en fylkeskommunedel. </w:t>
      </w:r>
    </w:p>
    <w:p w14:paraId="3E18D90E" w14:textId="23AB1773" w:rsidR="008A0C66" w:rsidRPr="008A563C" w:rsidRDefault="008A0C66" w:rsidP="00AE712D">
      <w:pPr>
        <w:spacing w:after="0" w:line="240" w:lineRule="auto"/>
        <w:rPr>
          <w:rFonts w:ascii="Open Sans Light" w:eastAsia="Batang" w:hAnsi="Open Sans Light" w:cs="Open Sans Light"/>
          <w:color w:val="000000" w:themeColor="text1"/>
          <w:sz w:val="18"/>
          <w:szCs w:val="18"/>
          <w:vertAlign w:val="superscript"/>
        </w:rPr>
      </w:pPr>
      <w:r w:rsidRPr="008A563C">
        <w:rPr>
          <w:rFonts w:ascii="Open Sans Light" w:eastAsia="Batang" w:hAnsi="Open Sans Light" w:cs="Open Sans Light"/>
          <w:color w:val="000000" w:themeColor="text1"/>
          <w:sz w:val="18"/>
          <w:szCs w:val="18"/>
          <w:vertAlign w:val="superscript"/>
        </w:rPr>
        <w:t>3</w:t>
      </w:r>
      <w:r w:rsidRPr="008A563C">
        <w:rPr>
          <w:rFonts w:ascii="Open Sans Light" w:eastAsia="Batang" w:hAnsi="Open Sans Light" w:cs="Open Sans Light"/>
          <w:color w:val="000000" w:themeColor="text1"/>
          <w:sz w:val="18"/>
          <w:szCs w:val="18"/>
        </w:rPr>
        <w:t xml:space="preserve"> Anslag på regnskap korrigert for oppgaveendringer</w:t>
      </w:r>
      <w:r>
        <w:rPr>
          <w:rFonts w:ascii="Open Sans Light" w:eastAsia="Batang" w:hAnsi="Open Sans Light" w:cs="Open Sans Light"/>
          <w:color w:val="000000" w:themeColor="text1"/>
          <w:sz w:val="18"/>
          <w:szCs w:val="18"/>
        </w:rPr>
        <w:t xml:space="preserve"> og virkninger av </w:t>
      </w:r>
      <w:r w:rsidR="00DF32D6">
        <w:rPr>
          <w:rFonts w:ascii="Open Sans Light" w:eastAsia="Batang" w:hAnsi="Open Sans Light" w:cs="Open Sans Light"/>
          <w:color w:val="000000" w:themeColor="text1"/>
          <w:sz w:val="18"/>
          <w:szCs w:val="18"/>
        </w:rPr>
        <w:t>koronapandemien.</w:t>
      </w:r>
    </w:p>
    <w:p w14:paraId="5A4BCE11" w14:textId="77777777" w:rsidR="008A0C66" w:rsidRPr="008A563C" w:rsidRDefault="008A0C66" w:rsidP="00AE712D">
      <w:pPr>
        <w:spacing w:after="0" w:line="240" w:lineRule="auto"/>
        <w:rPr>
          <w:rFonts w:ascii="Open Sans Light" w:eastAsia="Batang" w:hAnsi="Open Sans Light" w:cs="Open Sans Light"/>
          <w:color w:val="000000" w:themeColor="text1"/>
          <w:spacing w:val="4"/>
          <w:sz w:val="18"/>
          <w:szCs w:val="18"/>
        </w:rPr>
      </w:pPr>
      <w:r w:rsidRPr="008A563C">
        <w:rPr>
          <w:rFonts w:ascii="Open Sans Light" w:eastAsia="Batang" w:hAnsi="Open Sans Light" w:cs="Open Sans Light"/>
          <w:color w:val="000000" w:themeColor="text1"/>
          <w:sz w:val="18"/>
          <w:szCs w:val="18"/>
          <w:vertAlign w:val="superscript"/>
        </w:rPr>
        <w:t xml:space="preserve">4 </w:t>
      </w:r>
      <w:r w:rsidRPr="008A563C">
        <w:rPr>
          <w:rFonts w:ascii="Open Sans Light" w:eastAsia="Batang" w:hAnsi="Open Sans Light" w:cs="Open Sans Light"/>
          <w:color w:val="000000" w:themeColor="text1"/>
          <w:sz w:val="18"/>
          <w:szCs w:val="18"/>
        </w:rPr>
        <w:t>Omfatter ikke midler bevilget på kap. 571, post 21 Spesielle driftsutgifter.</w:t>
      </w:r>
    </w:p>
    <w:p w14:paraId="05F65A61" w14:textId="77777777" w:rsidR="00F22AE5" w:rsidRDefault="00F22AE5" w:rsidP="00DF32D6"/>
    <w:p w14:paraId="796779B4" w14:textId="1B55BE93" w:rsidR="00DF32D6" w:rsidRDefault="00DF32D6" w:rsidP="00AE712D">
      <w:pPr>
        <w:spacing w:after="0"/>
      </w:pPr>
      <w:r w:rsidRPr="00DF32D6">
        <w:lastRenderedPageBreak/>
        <w:t>Fra 2021 til 2022 er det på landsbasis en nominell vekst i kommunenes frie inntekter på 1,5 prosent (fra anslag på regnskap). Kommunene i Viken anslås samlet sett å få en nominell vekst i de frie inntektene på 1,7 prosent.</w:t>
      </w:r>
    </w:p>
    <w:p w14:paraId="08D56F2B" w14:textId="77777777" w:rsidR="00AE712D" w:rsidRPr="00DF32D6" w:rsidRDefault="00AE712D" w:rsidP="00AE712D">
      <w:pPr>
        <w:spacing w:after="0"/>
      </w:pPr>
    </w:p>
    <w:p w14:paraId="6546DD2A" w14:textId="4FB0AD90" w:rsidR="00DF32D6" w:rsidRDefault="00DF32D6" w:rsidP="00AE712D">
      <w:pPr>
        <w:spacing w:after="0"/>
      </w:pPr>
      <w:r w:rsidRPr="001D3D2A">
        <w:t>Med en kommunal deflator for 202</w:t>
      </w:r>
      <w:r>
        <w:t>2</w:t>
      </w:r>
      <w:r w:rsidRPr="001D3D2A">
        <w:t xml:space="preserve"> beregnet til 2,</w:t>
      </w:r>
      <w:r>
        <w:t>5</w:t>
      </w:r>
      <w:r w:rsidRPr="001D3D2A">
        <w:t xml:space="preserve"> % har </w:t>
      </w:r>
      <w:r>
        <w:t>de fleste kommunene</w:t>
      </w:r>
      <w:r w:rsidRPr="001D3D2A">
        <w:t xml:space="preserve"> en realnedgang. Årsak</w:t>
      </w:r>
      <w:r>
        <w:t xml:space="preserve"> til ulik utvikling </w:t>
      </w:r>
      <w:r w:rsidRPr="001D3D2A">
        <w:t>er demografiske endringer og utslag gjennom kostnadsnøkle</w:t>
      </w:r>
      <w:r w:rsidR="00F22AE5">
        <w:t>r og tilskudd.</w:t>
      </w:r>
    </w:p>
    <w:p w14:paraId="47FF4714" w14:textId="77777777" w:rsidR="00AE712D" w:rsidRDefault="00AE712D" w:rsidP="00AE712D">
      <w:pPr>
        <w:spacing w:after="0"/>
      </w:pPr>
    </w:p>
    <w:p w14:paraId="05549876" w14:textId="73505DBE" w:rsidR="00DF32D6" w:rsidRDefault="00DF32D6" w:rsidP="00DF32D6">
      <w:r>
        <w:rPr>
          <w:noProof/>
        </w:rPr>
        <w:drawing>
          <wp:inline distT="0" distB="0" distL="0" distR="0" wp14:anchorId="6D293C3B" wp14:editId="2306F880">
            <wp:extent cx="5915025" cy="265702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037" t="22249" r="22461" b="44656"/>
                    <a:stretch/>
                  </pic:blipFill>
                  <pic:spPr bwMode="auto">
                    <a:xfrm>
                      <a:off x="0" y="0"/>
                      <a:ext cx="5953583" cy="2674340"/>
                    </a:xfrm>
                    <a:prstGeom prst="rect">
                      <a:avLst/>
                    </a:prstGeom>
                    <a:ln>
                      <a:noFill/>
                    </a:ln>
                    <a:extLst>
                      <a:ext uri="{53640926-AAD7-44D8-BBD7-CCE9431645EC}">
                        <a14:shadowObscured xmlns:a14="http://schemas.microsoft.com/office/drawing/2010/main"/>
                      </a:ext>
                    </a:extLst>
                  </pic:spPr>
                </pic:pic>
              </a:graphicData>
            </a:graphic>
          </wp:inline>
        </w:drawing>
      </w:r>
    </w:p>
    <w:p w14:paraId="438331FC" w14:textId="4FD9FC6F" w:rsidR="00B07477" w:rsidRDefault="007E7CF2" w:rsidP="0076289F">
      <w:pPr>
        <w:pStyle w:val="Overskrift2"/>
        <w:numPr>
          <w:ilvl w:val="1"/>
          <w:numId w:val="2"/>
        </w:numPr>
      </w:pPr>
      <w:bookmarkStart w:id="7" w:name="_Toc85029685"/>
      <w:r>
        <w:t>Deflator</w:t>
      </w:r>
      <w:bookmarkEnd w:id="7"/>
    </w:p>
    <w:p w14:paraId="746CDD27" w14:textId="5F146E3E" w:rsidR="007E7CF2" w:rsidRPr="007E7CF2" w:rsidRDefault="007E7CF2" w:rsidP="003433F4">
      <w:pPr>
        <w:spacing w:after="0"/>
        <w:rPr>
          <w:rFonts w:eastAsia="Calibri"/>
          <w:color w:val="000000" w:themeColor="text1"/>
        </w:rPr>
      </w:pPr>
      <w:r w:rsidRPr="007E7CF2">
        <w:rPr>
          <w:rFonts w:eastAsia="Calibri"/>
        </w:rPr>
        <w:t>Pris og lønnsvekst for kommunesektoren for 202</w:t>
      </w:r>
      <w:r>
        <w:rPr>
          <w:rFonts w:eastAsia="Calibri"/>
        </w:rPr>
        <w:t xml:space="preserve">2 </w:t>
      </w:r>
      <w:r w:rsidRPr="007E7CF2">
        <w:rPr>
          <w:rFonts w:eastAsia="Calibri"/>
        </w:rPr>
        <w:t xml:space="preserve">er anslått til </w:t>
      </w:r>
      <w:r w:rsidRPr="007E7CF2">
        <w:rPr>
          <w:rFonts w:eastAsia="Calibri"/>
          <w:color w:val="000000" w:themeColor="text1"/>
        </w:rPr>
        <w:t>2,</w:t>
      </w:r>
      <w:r>
        <w:rPr>
          <w:rFonts w:eastAsia="Calibri"/>
          <w:color w:val="000000" w:themeColor="text1"/>
        </w:rPr>
        <w:t>5</w:t>
      </w:r>
      <w:r w:rsidRPr="007E7CF2">
        <w:rPr>
          <w:rFonts w:eastAsia="Calibri"/>
          <w:color w:val="000000" w:themeColor="text1"/>
        </w:rPr>
        <w:t xml:space="preserve"> %</w:t>
      </w:r>
      <w:r>
        <w:rPr>
          <w:rFonts w:eastAsia="Calibri"/>
          <w:color w:val="000000" w:themeColor="text1"/>
        </w:rPr>
        <w:t>, herav l</w:t>
      </w:r>
      <w:r w:rsidRPr="007E7CF2">
        <w:rPr>
          <w:rFonts w:eastAsia="Calibri"/>
          <w:color w:val="000000" w:themeColor="text1"/>
        </w:rPr>
        <w:t xml:space="preserve">ønn </w:t>
      </w:r>
      <w:r>
        <w:rPr>
          <w:rFonts w:eastAsia="Calibri"/>
          <w:color w:val="000000" w:themeColor="text1"/>
        </w:rPr>
        <w:t>3,2</w:t>
      </w:r>
      <w:r w:rsidRPr="007E7CF2">
        <w:rPr>
          <w:rFonts w:eastAsia="Calibri"/>
          <w:color w:val="000000" w:themeColor="text1"/>
        </w:rPr>
        <w:t xml:space="preserve"> %</w:t>
      </w:r>
      <w:r>
        <w:rPr>
          <w:rFonts w:eastAsia="Calibri"/>
          <w:color w:val="000000" w:themeColor="text1"/>
        </w:rPr>
        <w:t xml:space="preserve"> og vareinnsats 1,6%.</w:t>
      </w:r>
    </w:p>
    <w:p w14:paraId="66E182A4" w14:textId="2D2203C2" w:rsidR="007E7CF2" w:rsidRDefault="003433F4" w:rsidP="007E7CF2">
      <w:r>
        <w:rPr>
          <w:noProof/>
        </w:rPr>
        <w:drawing>
          <wp:inline distT="0" distB="0" distL="0" distR="0" wp14:anchorId="0CF6EC18" wp14:editId="152311AE">
            <wp:extent cx="5276850" cy="1720712"/>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053" t="26168" r="19312" b="46762"/>
                    <a:stretch/>
                  </pic:blipFill>
                  <pic:spPr bwMode="auto">
                    <a:xfrm>
                      <a:off x="0" y="0"/>
                      <a:ext cx="5291930" cy="1725629"/>
                    </a:xfrm>
                    <a:prstGeom prst="rect">
                      <a:avLst/>
                    </a:prstGeom>
                    <a:ln>
                      <a:noFill/>
                    </a:ln>
                    <a:extLst>
                      <a:ext uri="{53640926-AAD7-44D8-BBD7-CCE9431645EC}">
                        <a14:shadowObscured xmlns:a14="http://schemas.microsoft.com/office/drawing/2010/main"/>
                      </a:ext>
                    </a:extLst>
                  </pic:spPr>
                </pic:pic>
              </a:graphicData>
            </a:graphic>
          </wp:inline>
        </w:drawing>
      </w:r>
    </w:p>
    <w:p w14:paraId="28B11C6B" w14:textId="77777777" w:rsidR="007E7CF2" w:rsidRPr="001D3D2A" w:rsidRDefault="007E7CF2" w:rsidP="007E7CF2">
      <w:pPr>
        <w:spacing w:after="0"/>
        <w:rPr>
          <w:rFonts w:eastAsia="Calibri"/>
        </w:rPr>
      </w:pPr>
      <w:r w:rsidRPr="001D3D2A">
        <w:rPr>
          <w:rFonts w:eastAsia="Calibri"/>
        </w:rPr>
        <w:t>Deflator har to funksjoner:</w:t>
      </w:r>
    </w:p>
    <w:p w14:paraId="2D9C1096" w14:textId="77777777" w:rsidR="007E7CF2" w:rsidRPr="001D3D2A" w:rsidRDefault="007E7CF2" w:rsidP="007E7CF2">
      <w:pPr>
        <w:spacing w:after="0"/>
        <w:rPr>
          <w:rFonts w:eastAsia="Calibri"/>
        </w:rPr>
      </w:pPr>
    </w:p>
    <w:p w14:paraId="57350A8E" w14:textId="77777777" w:rsidR="007E7CF2" w:rsidRPr="001D3D2A" w:rsidRDefault="007E7CF2" w:rsidP="007E7CF2">
      <w:pPr>
        <w:numPr>
          <w:ilvl w:val="0"/>
          <w:numId w:val="15"/>
        </w:numPr>
        <w:spacing w:after="0"/>
        <w:rPr>
          <w:rFonts w:eastAsia="Calibri"/>
        </w:rPr>
      </w:pPr>
      <w:r w:rsidRPr="001D3D2A">
        <w:rPr>
          <w:rFonts w:eastAsia="Calibri"/>
        </w:rPr>
        <w:t xml:space="preserve"> Historisk beregning av faktisk realvekst (regnskapsdeflator)</w:t>
      </w:r>
    </w:p>
    <w:p w14:paraId="28E2CF0A" w14:textId="77777777" w:rsidR="007E7CF2" w:rsidRPr="001D3D2A" w:rsidRDefault="007E7CF2" w:rsidP="007E7CF2">
      <w:pPr>
        <w:numPr>
          <w:ilvl w:val="0"/>
          <w:numId w:val="15"/>
        </w:numPr>
        <w:spacing w:after="0"/>
        <w:rPr>
          <w:rFonts w:eastAsia="Calibri"/>
        </w:rPr>
      </w:pPr>
      <w:r w:rsidRPr="001D3D2A">
        <w:rPr>
          <w:rFonts w:eastAsia="Calibri"/>
        </w:rPr>
        <w:t xml:space="preserve"> Kompensasjon for anslått pris- og lønnsvekst i statsbudsjettet (budsjettdeflator)</w:t>
      </w:r>
    </w:p>
    <w:p w14:paraId="202D8A3A" w14:textId="77777777" w:rsidR="007E7CF2" w:rsidRPr="001D3D2A" w:rsidRDefault="007E7CF2" w:rsidP="007E7CF2">
      <w:pPr>
        <w:spacing w:after="0"/>
        <w:rPr>
          <w:rFonts w:eastAsia="Calibri"/>
        </w:rPr>
      </w:pPr>
    </w:p>
    <w:p w14:paraId="0E1C9383" w14:textId="77777777" w:rsidR="007E7CF2" w:rsidRDefault="007E7CF2" w:rsidP="007E7CF2">
      <w:pPr>
        <w:spacing w:after="0"/>
        <w:rPr>
          <w:rFonts w:eastAsia="Calibri"/>
        </w:rPr>
      </w:pPr>
      <w:r w:rsidRPr="001D3D2A">
        <w:rPr>
          <w:rFonts w:eastAsia="Calibri"/>
        </w:rPr>
        <w:t>Deflatoren for kommunesektoren utarbeides i Finansdepartementet (FIN) i forbindelse med statsbudsjettet. Deflator består av en delindeks for lønnsvekst og en delindeks for kjøp av varer og tjenester</w:t>
      </w:r>
      <w:r>
        <w:rPr>
          <w:rFonts w:eastAsia="Calibri"/>
        </w:rPr>
        <w:t>.</w:t>
      </w:r>
    </w:p>
    <w:p w14:paraId="7953C428" w14:textId="77777777" w:rsidR="007E7CF2" w:rsidRPr="001D3D2A" w:rsidRDefault="007E7CF2" w:rsidP="007E7CF2">
      <w:pPr>
        <w:spacing w:after="0"/>
        <w:rPr>
          <w:rFonts w:eastAsia="Calibri"/>
        </w:rPr>
      </w:pPr>
    </w:p>
    <w:p w14:paraId="1D991BE2" w14:textId="77777777" w:rsidR="007E7CF2" w:rsidRPr="001D3D2A" w:rsidRDefault="007E7CF2" w:rsidP="007E7CF2">
      <w:pPr>
        <w:spacing w:after="0"/>
        <w:rPr>
          <w:rFonts w:eastAsia="Calibri"/>
        </w:rPr>
      </w:pPr>
      <w:r w:rsidRPr="001D3D2A">
        <w:rPr>
          <w:rFonts w:eastAsia="Calibri"/>
        </w:rPr>
        <w:t>Følgende kostnadselementer er ikke dekket av deflatoren:</w:t>
      </w:r>
    </w:p>
    <w:p w14:paraId="15CF6F91" w14:textId="77777777" w:rsidR="007E7CF2" w:rsidRPr="001D3D2A" w:rsidRDefault="007E7CF2" w:rsidP="007E7CF2">
      <w:pPr>
        <w:numPr>
          <w:ilvl w:val="0"/>
          <w:numId w:val="14"/>
        </w:numPr>
        <w:spacing w:after="0"/>
        <w:rPr>
          <w:rFonts w:eastAsia="Calibri"/>
        </w:rPr>
      </w:pPr>
      <w:r w:rsidRPr="001D3D2A">
        <w:rPr>
          <w:rFonts w:eastAsia="Calibri"/>
        </w:rPr>
        <w:t>Rentekostnader</w:t>
      </w:r>
    </w:p>
    <w:p w14:paraId="51F7C592" w14:textId="77777777" w:rsidR="007E7CF2" w:rsidRPr="001D3D2A" w:rsidRDefault="007E7CF2" w:rsidP="007E7CF2">
      <w:pPr>
        <w:numPr>
          <w:ilvl w:val="0"/>
          <w:numId w:val="14"/>
        </w:numPr>
        <w:spacing w:after="0"/>
        <w:ind w:left="714" w:hanging="357"/>
        <w:rPr>
          <w:rFonts w:eastAsia="Calibri"/>
        </w:rPr>
      </w:pPr>
      <w:r w:rsidRPr="001D3D2A">
        <w:rPr>
          <w:rFonts w:eastAsia="Calibri"/>
        </w:rPr>
        <w:t>Pensjonskostnader er dekket i budsjettdeflatoren den grad de øker i takt med lønnsveksten. Dersom pensjonskostnadene øker mer (eller mindre) enn lønnsveksten, fanges ikke dette opp av budsjettdeflatoren.</w:t>
      </w:r>
    </w:p>
    <w:p w14:paraId="29635F36" w14:textId="77777777" w:rsidR="007E7CF2" w:rsidRPr="001D3D2A" w:rsidRDefault="007E7CF2" w:rsidP="007E7CF2">
      <w:pPr>
        <w:numPr>
          <w:ilvl w:val="0"/>
          <w:numId w:val="14"/>
        </w:numPr>
        <w:spacing w:after="0"/>
        <w:rPr>
          <w:rFonts w:eastAsia="Calibri"/>
        </w:rPr>
      </w:pPr>
      <w:r w:rsidRPr="001D3D2A">
        <w:rPr>
          <w:rFonts w:eastAsia="Calibri"/>
        </w:rPr>
        <w:t>Demografikostnader</w:t>
      </w:r>
    </w:p>
    <w:p w14:paraId="6448670B" w14:textId="77777777" w:rsidR="007E7CF2" w:rsidRPr="001D3D2A" w:rsidRDefault="007E7CF2" w:rsidP="007E7CF2">
      <w:pPr>
        <w:spacing w:after="0"/>
        <w:ind w:left="720"/>
        <w:rPr>
          <w:rFonts w:eastAsia="Calibri"/>
        </w:rPr>
      </w:pPr>
    </w:p>
    <w:p w14:paraId="48A5F553" w14:textId="77777777" w:rsidR="007E7CF2" w:rsidRPr="001D3D2A" w:rsidRDefault="007E7CF2" w:rsidP="007E7CF2">
      <w:pPr>
        <w:spacing w:after="0"/>
        <w:rPr>
          <w:rFonts w:eastAsia="Calibri"/>
        </w:rPr>
      </w:pPr>
      <w:r w:rsidRPr="001D3D2A">
        <w:rPr>
          <w:rFonts w:eastAsia="Calibri"/>
        </w:rPr>
        <w:t>Disse kostnadselementene må dekkes av veksten i frie inntekter.</w:t>
      </w:r>
    </w:p>
    <w:p w14:paraId="21C15350" w14:textId="77777777" w:rsidR="007E7CF2" w:rsidRDefault="007E7CF2" w:rsidP="007E7CF2">
      <w:pPr>
        <w:spacing w:after="0"/>
        <w:rPr>
          <w:rFonts w:eastAsia="Calibri"/>
        </w:rPr>
      </w:pPr>
    </w:p>
    <w:p w14:paraId="10A5D598" w14:textId="0CE3948D" w:rsidR="007E7CF2" w:rsidRDefault="007E7CF2" w:rsidP="007E7CF2">
      <w:pPr>
        <w:spacing w:after="0"/>
        <w:rPr>
          <w:rFonts w:eastAsia="Calibri" w:cs="Open Sans"/>
          <w:bCs/>
          <w:color w:val="000000"/>
          <w:lang w:eastAsia="en-US"/>
        </w:rPr>
      </w:pPr>
      <w:r w:rsidRPr="001602A2">
        <w:rPr>
          <w:rFonts w:eastAsia="Calibri" w:cs="Open Sans"/>
          <w:bCs/>
          <w:color w:val="000000"/>
          <w:lang w:eastAsia="en-US"/>
        </w:rPr>
        <w:t>Våren 202</w:t>
      </w:r>
      <w:r w:rsidR="00765261">
        <w:rPr>
          <w:rFonts w:eastAsia="Calibri" w:cs="Open Sans"/>
          <w:bCs/>
          <w:color w:val="000000"/>
          <w:lang w:eastAsia="en-US"/>
        </w:rPr>
        <w:t>2</w:t>
      </w:r>
      <w:r w:rsidRPr="001602A2">
        <w:rPr>
          <w:rFonts w:eastAsia="Calibri" w:cs="Open Sans"/>
          <w:bCs/>
          <w:color w:val="000000"/>
          <w:lang w:eastAsia="en-US"/>
        </w:rPr>
        <w:t xml:space="preserve"> vil den endelige skatteinngangen og lønns- og prisveksten i 202</w:t>
      </w:r>
      <w:r w:rsidR="00765261">
        <w:rPr>
          <w:rFonts w:eastAsia="Calibri" w:cs="Open Sans"/>
          <w:bCs/>
          <w:color w:val="000000"/>
          <w:lang w:eastAsia="en-US"/>
        </w:rPr>
        <w:t>1</w:t>
      </w:r>
      <w:r w:rsidRPr="001602A2">
        <w:rPr>
          <w:rFonts w:eastAsia="Calibri" w:cs="Open Sans"/>
          <w:bCs/>
          <w:color w:val="000000"/>
          <w:lang w:eastAsia="en-US"/>
        </w:rPr>
        <w:t xml:space="preserve"> være kjent</w:t>
      </w:r>
      <w:r>
        <w:rPr>
          <w:rFonts w:eastAsia="Calibri" w:cs="Open Sans"/>
          <w:bCs/>
          <w:color w:val="000000"/>
          <w:lang w:eastAsia="en-US"/>
        </w:rPr>
        <w:t>.</w:t>
      </w:r>
    </w:p>
    <w:p w14:paraId="76430395" w14:textId="0DBAA6A8" w:rsidR="007E7CF2" w:rsidRDefault="007E7CF2" w:rsidP="0076289F">
      <w:pPr>
        <w:pStyle w:val="Overskrift2"/>
        <w:spacing w:after="240"/>
      </w:pPr>
    </w:p>
    <w:p w14:paraId="001934FE" w14:textId="77777777" w:rsidR="00765261" w:rsidRDefault="00765261" w:rsidP="0076289F">
      <w:pPr>
        <w:pStyle w:val="Overskrift2"/>
        <w:numPr>
          <w:ilvl w:val="1"/>
          <w:numId w:val="2"/>
        </w:numPr>
      </w:pPr>
      <w:bookmarkStart w:id="8" w:name="_Toc85029686"/>
      <w:r>
        <w:t>Skattøren</w:t>
      </w:r>
      <w:bookmarkEnd w:id="8"/>
    </w:p>
    <w:p w14:paraId="1EB6FDDA" w14:textId="2E6CF556" w:rsidR="00765261" w:rsidRDefault="00765261" w:rsidP="00AE712D">
      <w:pPr>
        <w:spacing w:after="0"/>
      </w:pPr>
      <w:r w:rsidRPr="00765261">
        <w:t>Den kommunale skattøren angir hvilken andel av skatt på alminnelig inntekt for personlige skattytere som tilfaller kommunesektoren.</w:t>
      </w:r>
    </w:p>
    <w:p w14:paraId="250CB431" w14:textId="77777777" w:rsidR="00AE712D" w:rsidRPr="00765261" w:rsidRDefault="00AE712D" w:rsidP="00AE712D">
      <w:pPr>
        <w:spacing w:after="0"/>
      </w:pPr>
    </w:p>
    <w:p w14:paraId="70C16CA3" w14:textId="1590D8D9" w:rsidR="00765261" w:rsidRDefault="00765261" w:rsidP="00765261">
      <w:r>
        <w:rPr>
          <w:noProof/>
        </w:rPr>
        <w:drawing>
          <wp:inline distT="0" distB="0" distL="0" distR="0" wp14:anchorId="4D259218" wp14:editId="749F1260">
            <wp:extent cx="5130800" cy="1285774"/>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457" t="27672" r="20635" b="53679"/>
                    <a:stretch/>
                  </pic:blipFill>
                  <pic:spPr bwMode="auto">
                    <a:xfrm>
                      <a:off x="0" y="0"/>
                      <a:ext cx="5194065" cy="1301628"/>
                    </a:xfrm>
                    <a:prstGeom prst="rect">
                      <a:avLst/>
                    </a:prstGeom>
                    <a:ln>
                      <a:noFill/>
                    </a:ln>
                    <a:extLst>
                      <a:ext uri="{53640926-AAD7-44D8-BBD7-CCE9431645EC}">
                        <a14:shadowObscured xmlns:a14="http://schemas.microsoft.com/office/drawing/2010/main"/>
                      </a:ext>
                    </a:extLst>
                  </pic:spPr>
                </pic:pic>
              </a:graphicData>
            </a:graphic>
          </wp:inline>
        </w:drawing>
      </w:r>
    </w:p>
    <w:p w14:paraId="6DF458EA" w14:textId="1B58F891" w:rsidR="00765261" w:rsidRDefault="00765261" w:rsidP="00AE712D">
      <w:pPr>
        <w:spacing w:after="0"/>
      </w:pPr>
      <w:r w:rsidRPr="00765261">
        <w:t>Det er en langvarig praksis for at skattørene fastsettes med sikte på at skatteinntektene skal utgjøre 40 pst. av kommunenes samlede inntekter.</w:t>
      </w:r>
    </w:p>
    <w:p w14:paraId="3F44834E" w14:textId="77777777" w:rsidR="00765261" w:rsidRPr="00765261" w:rsidRDefault="00765261" w:rsidP="00AE712D">
      <w:pPr>
        <w:spacing w:after="0"/>
      </w:pPr>
    </w:p>
    <w:p w14:paraId="5203F1FB" w14:textId="426E1CC1" w:rsidR="00765261" w:rsidRDefault="00765261" w:rsidP="00AE712D">
      <w:pPr>
        <w:spacing w:after="0"/>
      </w:pPr>
      <w:r w:rsidRPr="00765261">
        <w:t>I 2022 ventes det relativt høy vekst i skattegrunnlagene på grunn av gode vekstutsikter for norsk økonomi.</w:t>
      </w:r>
    </w:p>
    <w:p w14:paraId="1551F4A7" w14:textId="77777777" w:rsidR="00765261" w:rsidRPr="00765261" w:rsidRDefault="00765261" w:rsidP="00AE712D">
      <w:pPr>
        <w:spacing w:after="0"/>
      </w:pPr>
    </w:p>
    <w:p w14:paraId="7C671674" w14:textId="04236AA9" w:rsidR="00765261" w:rsidRDefault="00765261" w:rsidP="00AE712D">
      <w:pPr>
        <w:spacing w:after="0"/>
      </w:pPr>
      <w:r w:rsidRPr="00765261">
        <w:t>Anslaget på kommunesektorens skatteinntekter i 2022 bygger blant annet på 1,4 prosent sysselsettingsvekst og 3,0 prosent lønnsvekst fra 2021 til 2022</w:t>
      </w:r>
      <w:r w:rsidR="00AE712D">
        <w:t>.</w:t>
      </w:r>
      <w:r w:rsidRPr="00765261">
        <w:t xml:space="preserve"> </w:t>
      </w:r>
    </w:p>
    <w:p w14:paraId="5DBF8D84" w14:textId="77777777" w:rsidR="00765261" w:rsidRPr="00765261" w:rsidRDefault="00765261" w:rsidP="00AE712D">
      <w:pPr>
        <w:spacing w:after="0"/>
      </w:pPr>
    </w:p>
    <w:p w14:paraId="19D54C0A" w14:textId="77777777" w:rsidR="00765261" w:rsidRPr="00765261" w:rsidRDefault="00765261" w:rsidP="00AE712D">
      <w:pPr>
        <w:spacing w:after="0"/>
      </w:pPr>
      <w:r w:rsidRPr="00765261">
        <w:t xml:space="preserve">I statsbudsjettet foreslås den kommunale skattøren redusert med 1,20 prosentpoeng til 10,95 pst. Den fylkeskommunale skattøren foreslås redusert med 0,30 prosentpoeng til 2,4 pst. </w:t>
      </w:r>
    </w:p>
    <w:p w14:paraId="26D2E4B1" w14:textId="18A4DCAB" w:rsidR="00765261" w:rsidRDefault="00765261" w:rsidP="00AE712D">
      <w:pPr>
        <w:spacing w:after="0"/>
      </w:pPr>
      <w:r w:rsidRPr="00765261">
        <w:t>Skatteinntektene anslås etter dette å utgjøre 40 prosent av kommunesektorens samlede inntekter i 2022.</w:t>
      </w:r>
    </w:p>
    <w:p w14:paraId="07B24C30" w14:textId="77777777" w:rsidR="00765261" w:rsidRPr="00765261" w:rsidRDefault="00765261" w:rsidP="00AE712D">
      <w:pPr>
        <w:spacing w:after="0"/>
      </w:pPr>
    </w:p>
    <w:p w14:paraId="039C119A" w14:textId="7B3F8113" w:rsidR="00765261" w:rsidRDefault="00765261" w:rsidP="00AE712D">
      <w:pPr>
        <w:spacing w:after="0"/>
      </w:pPr>
      <w:r w:rsidRPr="00765261">
        <w:lastRenderedPageBreak/>
        <w:t xml:space="preserve">Kommunesektorens inntekter fra skatt på inntekt og formue anslås med dette opplegget å utgjøre 226,9 mrd. kroner i 2022, en nominell reduksjon på 0,1 pst. fra 2021. </w:t>
      </w:r>
    </w:p>
    <w:p w14:paraId="4E47B9B3" w14:textId="77777777" w:rsidR="00AE712D" w:rsidRDefault="00AE712D" w:rsidP="00AE712D">
      <w:pPr>
        <w:spacing w:after="0"/>
      </w:pPr>
    </w:p>
    <w:p w14:paraId="37734E27" w14:textId="6BBC436C" w:rsidR="00765261" w:rsidRDefault="00EE3407" w:rsidP="0076289F">
      <w:pPr>
        <w:pStyle w:val="Overskrift2"/>
        <w:numPr>
          <w:ilvl w:val="1"/>
          <w:numId w:val="2"/>
        </w:numPr>
      </w:pPr>
      <w:bookmarkStart w:id="9" w:name="_Toc85029687"/>
      <w:r>
        <w:t>Utgiftsutjevningen 2022- bruk av regnskapstall fra 2019</w:t>
      </w:r>
      <w:bookmarkEnd w:id="9"/>
    </w:p>
    <w:p w14:paraId="749C2B8C" w14:textId="77777777" w:rsidR="00EE3407" w:rsidRPr="00EE3407" w:rsidRDefault="00EE3407" w:rsidP="00AE712D">
      <w:pPr>
        <w:spacing w:after="0"/>
      </w:pPr>
      <w:r w:rsidRPr="00EE3407">
        <w:t xml:space="preserve">For at inntektssystemet skal fange opp utgiftsbehovet i kommunene, legges bl.a. oppdaterte kriteriedata og siste tilgjengelige regnskapstall til grunn i utgiftsutjevningen. </w:t>
      </w:r>
    </w:p>
    <w:p w14:paraId="5D739000" w14:textId="77777777" w:rsidR="00AE712D" w:rsidRDefault="00AE712D" w:rsidP="00AE712D">
      <w:pPr>
        <w:spacing w:after="0"/>
      </w:pPr>
    </w:p>
    <w:p w14:paraId="263FA228" w14:textId="35684171" w:rsidR="00EE3407" w:rsidRDefault="00EE3407" w:rsidP="00AE712D">
      <w:pPr>
        <w:spacing w:after="0"/>
      </w:pPr>
      <w:r w:rsidRPr="00EE3407">
        <w:t>Siste tilgjengelige regnskapsår i KOSTRA/SSB er 2020. Dette året er preget av koronapandemien med ekstraordinære overføringer og endret aktivitet mellom de ulike sektorene i kommunene. Når vi nå skal tilbake til en mer normal situasjon i 2022, vil regnskapstall fra 2020 gi et mindre korrekt bilde av utgiftsbehovet i kommunene.</w:t>
      </w:r>
    </w:p>
    <w:p w14:paraId="7BA36609" w14:textId="77777777" w:rsidR="00EE3407" w:rsidRPr="00EE3407" w:rsidRDefault="00EE3407" w:rsidP="00AE712D">
      <w:pPr>
        <w:spacing w:after="0"/>
      </w:pPr>
    </w:p>
    <w:p w14:paraId="723C9B97" w14:textId="197CF976" w:rsidR="00EE3407" w:rsidRPr="003833B3" w:rsidRDefault="00EE3407" w:rsidP="00AE712D">
      <w:pPr>
        <w:spacing w:after="0"/>
        <w:rPr>
          <w:color w:val="FF0000"/>
        </w:rPr>
      </w:pPr>
      <w:r w:rsidRPr="00EE3407">
        <w:t xml:space="preserve">Det tas derfor utgangspunkt i regnskapstall for 2019 i utgiftsutjevningen for 2022. </w:t>
      </w:r>
      <w:r w:rsidRPr="003433F4">
        <w:t>Nærmere bestemt gjelder det hvor mye hver sektor skal utgjøre i kostnadsnøkkelen, og det gjelder samlet utgiftsbehov, dvs. størrelsen på utgiftsutjevningen.</w:t>
      </w:r>
    </w:p>
    <w:p w14:paraId="6A7AE893" w14:textId="77777777" w:rsidR="00EE3407" w:rsidRPr="003833B3" w:rsidRDefault="00EE3407" w:rsidP="00AE712D">
      <w:pPr>
        <w:spacing w:after="0"/>
        <w:rPr>
          <w:color w:val="FF0000"/>
        </w:rPr>
      </w:pPr>
    </w:p>
    <w:p w14:paraId="1A29DF80" w14:textId="08393EE6" w:rsidR="00EE3407" w:rsidRPr="003433F4" w:rsidRDefault="00EE3407" w:rsidP="00AE712D">
      <w:pPr>
        <w:spacing w:after="0"/>
      </w:pPr>
      <w:r w:rsidRPr="003433F4">
        <w:t>Når det gjelder sektorandelene i kostnadsnøkkelen, tas det utgangspunkt i netto driftsutgifter fra 2019 til hver av sektorene i kostnadsnøkkelen. Det tas så hensyn til oppgaveendringer, korreksjoner o.l. 2020-2022, som ikke inngår i regnskapstallene for 2019.</w:t>
      </w:r>
    </w:p>
    <w:p w14:paraId="172EBBD3" w14:textId="77777777" w:rsidR="00EE3407" w:rsidRPr="003433F4" w:rsidRDefault="00EE3407" w:rsidP="00AE712D">
      <w:pPr>
        <w:spacing w:after="0"/>
      </w:pPr>
    </w:p>
    <w:p w14:paraId="536FFDDA" w14:textId="76E83EF4" w:rsidR="00EE3407" w:rsidRPr="003433F4" w:rsidRDefault="00EE3407" w:rsidP="00AE712D">
      <w:pPr>
        <w:spacing w:after="0"/>
      </w:pPr>
      <w:r w:rsidRPr="003433F4">
        <w:t>Når det gjelder samlet utgiftsbehov, tas det også utgangspunkt i netto driftsutgifter fra 2019 til de sektorene som inngår i utgiftsutjevningen. Samlede netto driftsutgifter for 2019 framskrives så med veksten i frie inntekter 2019-2022 (ikke oppgavekorrigert vekst).</w:t>
      </w:r>
    </w:p>
    <w:p w14:paraId="46C40469" w14:textId="77777777" w:rsidR="00EE3407" w:rsidRPr="003833B3" w:rsidRDefault="00EE3407" w:rsidP="00AE712D">
      <w:pPr>
        <w:spacing w:after="0"/>
        <w:rPr>
          <w:color w:val="FF0000"/>
        </w:rPr>
      </w:pPr>
    </w:p>
    <w:p w14:paraId="4A97AC9C" w14:textId="3785A75C" w:rsidR="00B07477" w:rsidRDefault="00B07477" w:rsidP="0076289F">
      <w:pPr>
        <w:pStyle w:val="Overskrift2"/>
        <w:numPr>
          <w:ilvl w:val="1"/>
          <w:numId w:val="2"/>
        </w:numPr>
      </w:pPr>
      <w:bookmarkStart w:id="10" w:name="_Toc85029688"/>
      <w:r>
        <w:t>Skjønnsmidler</w:t>
      </w:r>
      <w:bookmarkEnd w:id="10"/>
      <w:r>
        <w:t xml:space="preserve"> </w:t>
      </w:r>
    </w:p>
    <w:p w14:paraId="227DC0BA" w14:textId="30B55177" w:rsidR="00861232" w:rsidRPr="00692484" w:rsidRDefault="00B07477" w:rsidP="00B07477">
      <w:pPr>
        <w:rPr>
          <w:rStyle w:val="fontstyle01"/>
          <w:rFonts w:ascii="Open Sans" w:hAnsi="Open Sans" w:cs="Open Sans"/>
          <w:sz w:val="22"/>
          <w:szCs w:val="22"/>
        </w:rPr>
      </w:pPr>
      <w:r w:rsidRPr="00692484">
        <w:rPr>
          <w:rFonts w:cs="Open Sans"/>
        </w:rPr>
        <w:t>Kommunene i Oslo og Viken er tildelt 121 millioner kroner for 2022</w:t>
      </w:r>
      <w:r w:rsidR="00861232" w:rsidRPr="00692484">
        <w:rPr>
          <w:rFonts w:cs="Open Sans"/>
        </w:rPr>
        <w:t xml:space="preserve">. </w:t>
      </w:r>
      <w:r w:rsidR="00861232" w:rsidRPr="00692484">
        <w:rPr>
          <w:rStyle w:val="fontstyle01"/>
          <w:rFonts w:ascii="Open Sans" w:hAnsi="Open Sans" w:cs="Open Sans"/>
          <w:sz w:val="22"/>
          <w:szCs w:val="22"/>
        </w:rPr>
        <w:t xml:space="preserve">Nivået </w:t>
      </w:r>
      <w:r w:rsidR="003007B4">
        <w:rPr>
          <w:rStyle w:val="fontstyle01"/>
          <w:rFonts w:ascii="Open Sans" w:hAnsi="Open Sans" w:cs="Open Sans"/>
          <w:sz w:val="22"/>
          <w:szCs w:val="22"/>
        </w:rPr>
        <w:t>er dermed uendret</w:t>
      </w:r>
      <w:r w:rsidR="00861232" w:rsidRPr="00692484">
        <w:rPr>
          <w:rStyle w:val="fontstyle01"/>
          <w:rFonts w:ascii="Open Sans" w:hAnsi="Open Sans" w:cs="Open Sans"/>
          <w:sz w:val="22"/>
          <w:szCs w:val="22"/>
        </w:rPr>
        <w:t>.</w:t>
      </w:r>
      <w:r w:rsidR="00692484" w:rsidRPr="00692484">
        <w:rPr>
          <w:rStyle w:val="fontstyle01"/>
          <w:rFonts w:ascii="Open Sans" w:hAnsi="Open Sans" w:cs="Open Sans"/>
          <w:sz w:val="22"/>
          <w:szCs w:val="22"/>
        </w:rPr>
        <w:t xml:space="preserve"> I takt med utfordringsbildet i regionen holder vi tilbake en større andel av skjønnsmidlene for 2022, slik at vi kan følge utviklingen tett for de mest utsatte kommunene. </w:t>
      </w:r>
      <w:r w:rsidR="00692484">
        <w:rPr>
          <w:rStyle w:val="fontstyle01"/>
          <w:rFonts w:ascii="Open Sans" w:hAnsi="Open Sans" w:cs="Open Sans"/>
          <w:sz w:val="22"/>
          <w:szCs w:val="22"/>
        </w:rPr>
        <w:t>D</w:t>
      </w:r>
      <w:r w:rsidR="00692484" w:rsidRPr="00692484">
        <w:rPr>
          <w:rStyle w:val="fontstyle01"/>
          <w:rFonts w:ascii="Open Sans" w:hAnsi="Open Sans" w:cs="Open Sans"/>
          <w:sz w:val="22"/>
          <w:szCs w:val="22"/>
        </w:rPr>
        <w:t xml:space="preserve">ette har da medført at nesten alle kommuner </w:t>
      </w:r>
      <w:r w:rsidR="00F00F61">
        <w:rPr>
          <w:rStyle w:val="fontstyle01"/>
          <w:rFonts w:ascii="Open Sans" w:hAnsi="Open Sans" w:cs="Open Sans"/>
          <w:sz w:val="22"/>
          <w:szCs w:val="22"/>
        </w:rPr>
        <w:t xml:space="preserve">har </w:t>
      </w:r>
      <w:r w:rsidR="00692484" w:rsidRPr="00692484">
        <w:rPr>
          <w:rStyle w:val="fontstyle01"/>
          <w:rFonts w:ascii="Open Sans" w:hAnsi="Open Sans" w:cs="Open Sans"/>
          <w:sz w:val="22"/>
          <w:szCs w:val="22"/>
        </w:rPr>
        <w:t xml:space="preserve">fått redusert sin </w:t>
      </w:r>
      <w:r w:rsidR="006D3F66">
        <w:rPr>
          <w:rStyle w:val="fontstyle01"/>
          <w:rFonts w:ascii="Open Sans" w:hAnsi="Open Sans" w:cs="Open Sans"/>
          <w:sz w:val="22"/>
          <w:szCs w:val="22"/>
        </w:rPr>
        <w:t>skjønns</w:t>
      </w:r>
      <w:r w:rsidR="00692484" w:rsidRPr="00692484">
        <w:rPr>
          <w:rStyle w:val="fontstyle01"/>
          <w:rFonts w:ascii="Open Sans" w:hAnsi="Open Sans" w:cs="Open Sans"/>
          <w:sz w:val="22"/>
          <w:szCs w:val="22"/>
        </w:rPr>
        <w:t>ramme.</w:t>
      </w:r>
    </w:p>
    <w:p w14:paraId="5AA83305" w14:textId="1D2394FC" w:rsidR="00B07477" w:rsidRPr="00692484" w:rsidRDefault="00692484" w:rsidP="00B07477">
      <w:pPr>
        <w:rPr>
          <w:rFonts w:cs="Open Sans"/>
        </w:rPr>
      </w:pPr>
      <w:r>
        <w:rPr>
          <w:rFonts w:cs="Open Sans"/>
        </w:rPr>
        <w:t xml:space="preserve">Skjønnsrammen </w:t>
      </w:r>
      <w:r w:rsidR="00B07477" w:rsidRPr="00692484">
        <w:rPr>
          <w:rFonts w:cs="Open Sans"/>
        </w:rPr>
        <w:t>på 121 millioner kroner</w:t>
      </w:r>
      <w:r>
        <w:rPr>
          <w:rFonts w:cs="Open Sans"/>
        </w:rPr>
        <w:t xml:space="preserve"> fordeler seg slik</w:t>
      </w:r>
      <w:r w:rsidR="00B07477" w:rsidRPr="00692484">
        <w:rPr>
          <w:rFonts w:cs="Open Sans"/>
        </w:rPr>
        <w:t>:</w:t>
      </w:r>
    </w:p>
    <w:p w14:paraId="01BA32B8" w14:textId="45633903" w:rsidR="00B07477" w:rsidRPr="00692484" w:rsidRDefault="00692484" w:rsidP="00B07477">
      <w:pPr>
        <w:pStyle w:val="Listeavsnitt"/>
        <w:numPr>
          <w:ilvl w:val="0"/>
          <w:numId w:val="7"/>
        </w:numPr>
        <w:rPr>
          <w:rFonts w:cs="Open Sans"/>
        </w:rPr>
      </w:pPr>
      <w:r w:rsidRPr="00692484">
        <w:rPr>
          <w:rFonts w:cs="Open Sans"/>
        </w:rPr>
        <w:t>75</w:t>
      </w:r>
      <w:r w:rsidR="00B07477" w:rsidRPr="00692484">
        <w:rPr>
          <w:rFonts w:cs="Open Sans"/>
        </w:rPr>
        <w:t xml:space="preserve"> millioner er fordelt gjennom statsbudsjettet for 202</w:t>
      </w:r>
      <w:r w:rsidRPr="00692484">
        <w:rPr>
          <w:rFonts w:cs="Open Sans"/>
        </w:rPr>
        <w:t>2</w:t>
      </w:r>
    </w:p>
    <w:p w14:paraId="5F385F89" w14:textId="747B7B57" w:rsidR="00B07477" w:rsidRDefault="00692484" w:rsidP="00AE712D">
      <w:pPr>
        <w:pStyle w:val="Listeavsnitt"/>
        <w:numPr>
          <w:ilvl w:val="0"/>
          <w:numId w:val="7"/>
        </w:numPr>
        <w:spacing w:after="0"/>
        <w:rPr>
          <w:rFonts w:cs="Open Sans"/>
        </w:rPr>
      </w:pPr>
      <w:r w:rsidRPr="00692484">
        <w:rPr>
          <w:rFonts w:cs="Open Sans"/>
        </w:rPr>
        <w:t>46</w:t>
      </w:r>
      <w:r w:rsidR="00B07477" w:rsidRPr="00692484">
        <w:rPr>
          <w:rFonts w:cs="Open Sans"/>
        </w:rPr>
        <w:t xml:space="preserve"> millioner holdes tilbake til senere fordeling i</w:t>
      </w:r>
      <w:r w:rsidRPr="00692484">
        <w:rPr>
          <w:rFonts w:cs="Open Sans"/>
        </w:rPr>
        <w:t xml:space="preserve"> løpet av </w:t>
      </w:r>
      <w:r w:rsidR="00B07477" w:rsidRPr="00692484">
        <w:rPr>
          <w:rFonts w:cs="Open Sans"/>
        </w:rPr>
        <w:t>202</w:t>
      </w:r>
      <w:r w:rsidRPr="00692484">
        <w:rPr>
          <w:rFonts w:cs="Open Sans"/>
        </w:rPr>
        <w:t>2</w:t>
      </w:r>
    </w:p>
    <w:p w14:paraId="4037C0C0" w14:textId="77777777" w:rsidR="00AE712D" w:rsidRPr="00692484" w:rsidRDefault="00AE712D" w:rsidP="00AE712D">
      <w:pPr>
        <w:pStyle w:val="Listeavsnitt"/>
        <w:spacing w:after="0"/>
        <w:rPr>
          <w:rFonts w:cs="Open Sans"/>
        </w:rPr>
      </w:pPr>
    </w:p>
    <w:p w14:paraId="10B5E86F" w14:textId="72222F06" w:rsidR="00B07477" w:rsidRDefault="00B07477" w:rsidP="00AE712D">
      <w:pPr>
        <w:spacing w:after="0"/>
        <w:rPr>
          <w:rFonts w:cs="Open Sans"/>
        </w:rPr>
      </w:pPr>
      <w:r w:rsidRPr="00692484">
        <w:rPr>
          <w:rFonts w:cs="Open Sans"/>
        </w:rPr>
        <w:lastRenderedPageBreak/>
        <w:t xml:space="preserve">De tilbakeholdte midlene skal brukes </w:t>
      </w:r>
      <w:r w:rsidR="0074692A">
        <w:rPr>
          <w:rFonts w:cs="Open Sans"/>
        </w:rPr>
        <w:t xml:space="preserve">på </w:t>
      </w:r>
      <w:r w:rsidRPr="00692484">
        <w:rPr>
          <w:rFonts w:cs="Open Sans"/>
        </w:rPr>
        <w:t>kommunale innovasjons- og fornyings prosjekter</w:t>
      </w:r>
      <w:r w:rsidR="00692484">
        <w:rPr>
          <w:rFonts w:cs="Open Sans"/>
        </w:rPr>
        <w:t xml:space="preserve">, </w:t>
      </w:r>
      <w:r w:rsidRPr="00692484">
        <w:rPr>
          <w:rFonts w:cs="Open Sans"/>
        </w:rPr>
        <w:t xml:space="preserve">uforutsette </w:t>
      </w:r>
      <w:r w:rsidR="00692484">
        <w:rPr>
          <w:rFonts w:cs="Open Sans"/>
        </w:rPr>
        <w:t xml:space="preserve">og ekstraordinære økonomiske utfordringer </w:t>
      </w:r>
      <w:r w:rsidRPr="00692484">
        <w:rPr>
          <w:rFonts w:cs="Open Sans"/>
        </w:rPr>
        <w:t>som måtte oppstå i løpet av året</w:t>
      </w:r>
      <w:r w:rsidR="00692484">
        <w:rPr>
          <w:rFonts w:cs="Open Sans"/>
        </w:rPr>
        <w:t xml:space="preserve"> og </w:t>
      </w:r>
      <w:r w:rsidR="006D3F66">
        <w:rPr>
          <w:rFonts w:cs="Open Sans"/>
        </w:rPr>
        <w:t xml:space="preserve">vesentlige </w:t>
      </w:r>
      <w:r w:rsidR="00692484">
        <w:rPr>
          <w:rFonts w:cs="Open Sans"/>
        </w:rPr>
        <w:t xml:space="preserve">økonomiske konsekvenser </w:t>
      </w:r>
      <w:r w:rsidR="006D3F66">
        <w:rPr>
          <w:rFonts w:cs="Open Sans"/>
        </w:rPr>
        <w:t>knyttet til</w:t>
      </w:r>
      <w:r w:rsidR="00692484">
        <w:rPr>
          <w:rFonts w:cs="Open Sans"/>
        </w:rPr>
        <w:t xml:space="preserve"> barnevernsreformen</w:t>
      </w:r>
      <w:r w:rsidRPr="00692484">
        <w:rPr>
          <w:rFonts w:cs="Open Sans"/>
        </w:rPr>
        <w:t xml:space="preserve">. </w:t>
      </w:r>
    </w:p>
    <w:p w14:paraId="2472F616" w14:textId="77777777" w:rsidR="00AE712D" w:rsidRPr="006D3F66" w:rsidRDefault="00AE712D" w:rsidP="00AE712D">
      <w:pPr>
        <w:spacing w:after="0"/>
        <w:rPr>
          <w:rFonts w:cs="Open Sans"/>
          <w:color w:val="FF0000"/>
        </w:rPr>
      </w:pPr>
    </w:p>
    <w:p w14:paraId="5D0507A0" w14:textId="0D736C3F" w:rsidR="00F00F61" w:rsidRPr="00F00F61" w:rsidRDefault="00F00F61" w:rsidP="00AE712D">
      <w:pPr>
        <w:spacing w:after="0"/>
        <w:rPr>
          <w:rFonts w:eastAsia="Calibri" w:cs="Open Sans"/>
        </w:rPr>
      </w:pPr>
      <w:r w:rsidRPr="00F00F61">
        <w:rPr>
          <w:rFonts w:eastAsia="Calibri" w:cs="Open Sans"/>
        </w:rPr>
        <w:t>Vi ser for oss at søknads- og fordelings</w:t>
      </w:r>
      <w:r w:rsidR="006D3F66">
        <w:rPr>
          <w:rFonts w:eastAsia="Calibri" w:cs="Open Sans"/>
        </w:rPr>
        <w:t>prosessen</w:t>
      </w:r>
      <w:r w:rsidRPr="00F00F61">
        <w:rPr>
          <w:rFonts w:eastAsia="Calibri" w:cs="Open Sans"/>
        </w:rPr>
        <w:t xml:space="preserve"> med prosjektskjønn gjennomføres </w:t>
      </w:r>
      <w:r w:rsidR="006D3F66">
        <w:rPr>
          <w:rFonts w:eastAsia="Calibri" w:cs="Open Sans"/>
        </w:rPr>
        <w:t>på våren. Vi tar sikte på en søknadsfrist til 1.</w:t>
      </w:r>
      <w:r w:rsidR="00F63DAD">
        <w:rPr>
          <w:rFonts w:eastAsia="Calibri" w:cs="Open Sans"/>
        </w:rPr>
        <w:t xml:space="preserve"> </w:t>
      </w:r>
      <w:r w:rsidR="006D3F66">
        <w:rPr>
          <w:rFonts w:eastAsia="Calibri" w:cs="Open Sans"/>
        </w:rPr>
        <w:t>mars 2022.</w:t>
      </w:r>
    </w:p>
    <w:p w14:paraId="0D0BDC64" w14:textId="1B12A7F2" w:rsidR="00F00F61" w:rsidRPr="00F00F61" w:rsidRDefault="00F00F61" w:rsidP="00AE712D">
      <w:pPr>
        <w:spacing w:after="0"/>
        <w:rPr>
          <w:rFonts w:eastAsia="Calibri" w:cs="Open Sans"/>
        </w:rPr>
      </w:pPr>
    </w:p>
    <w:p w14:paraId="5FB93FF6" w14:textId="2F83E341" w:rsidR="007E22E3" w:rsidRDefault="00F00F61" w:rsidP="00AE712D">
      <w:pPr>
        <w:spacing w:after="0"/>
        <w:rPr>
          <w:rFonts w:eastAsia="Calibri" w:cs="Open Sans"/>
        </w:rPr>
      </w:pPr>
      <w:r w:rsidRPr="00F00F61">
        <w:rPr>
          <w:rFonts w:eastAsia="Calibri" w:cs="Open Sans"/>
        </w:rPr>
        <w:t>Utgiftskrevende forhold som oppstår i løpet av året kan meldes inn løpende, men</w:t>
      </w:r>
      <w:r w:rsidR="007E22E3">
        <w:rPr>
          <w:rFonts w:eastAsia="Calibri" w:cs="Open Sans"/>
        </w:rPr>
        <w:t xml:space="preserve"> kan </w:t>
      </w:r>
      <w:proofErr w:type="gramStart"/>
      <w:r w:rsidR="007E22E3">
        <w:rPr>
          <w:rFonts w:eastAsia="Calibri" w:cs="Open Sans"/>
        </w:rPr>
        <w:t>påregnes</w:t>
      </w:r>
      <w:proofErr w:type="gramEnd"/>
      <w:r w:rsidR="007E22E3">
        <w:rPr>
          <w:rFonts w:eastAsia="Calibri" w:cs="Open Sans"/>
        </w:rPr>
        <w:t xml:space="preserve"> å bli behandlet i løpet av høsten. </w:t>
      </w:r>
    </w:p>
    <w:p w14:paraId="71B2103F" w14:textId="77777777" w:rsidR="003433F4" w:rsidRDefault="003433F4" w:rsidP="00AE712D">
      <w:pPr>
        <w:spacing w:after="0"/>
        <w:rPr>
          <w:rFonts w:eastAsia="Calibri" w:cs="Open Sans"/>
        </w:rPr>
      </w:pPr>
    </w:p>
    <w:p w14:paraId="7BACCEBB" w14:textId="77777777" w:rsidR="003433F4" w:rsidRDefault="003433F4" w:rsidP="0076289F">
      <w:pPr>
        <w:pStyle w:val="Overskrift2"/>
        <w:numPr>
          <w:ilvl w:val="1"/>
          <w:numId w:val="2"/>
        </w:numPr>
      </w:pPr>
      <w:bookmarkStart w:id="11" w:name="_Toc85029689"/>
      <w:r>
        <w:t>Barnevernsreformen</w:t>
      </w:r>
      <w:bookmarkEnd w:id="11"/>
    </w:p>
    <w:p w14:paraId="6B7F662D" w14:textId="0E53727D" w:rsidR="003433F4" w:rsidRPr="003433F4" w:rsidRDefault="003433F4" w:rsidP="003433F4">
      <w:r w:rsidRPr="003433F4">
        <w:t>Stortinget har vedtatt en barnevernsreform fra 2022, som blant annet gir kommunene økt faglig og økonomisk ansvar. Som kompensasjon for det økte finansielle ansvaret økes rammetilskuddet til kommunene med 1 310 mill. kroner i 2022. Av dette fordeles 655 mill. kroner etter delkostnadsnøkkelen for barnevern, mens 655 mill. kroner fordeles særskilt (tabell C) i en overgangsperiode på to år basert på kommunenes bruk av barnevernstiltak før reformen (regnskapsåret 2020). Beløpet i 2022 er lavere enn anslått i kommuneproposisjonen for 2022, noe som skyldes oppretting av en feil i beregningsgrunnlaget. Den varige effekten på 2,1 mrd. kroner som ble varslet i kommuneproposisjonen, endres ikke.</w:t>
      </w:r>
    </w:p>
    <w:p w14:paraId="117FB8FF" w14:textId="77777777" w:rsidR="003433F4" w:rsidRPr="003433F4" w:rsidRDefault="003433F4" w:rsidP="003433F4">
      <w:r w:rsidRPr="003433F4">
        <w:t>Stortinget har vedtatt nye krav om relevant utdanning for ansatte i barnevernet, jf. Prop. 133 L (2020–2021) Lov om barnevern (barnevernsloven) og lov om endringer i barnevernloven. Kravene trer i kraft i 2022, med en implementeringsperiode på ti år. Merkostnadene er anslått til 440–610 mill. kroner fra 2031. For 2022 foreslås det at rammetilskuddet til kommunene økes med 52,5 mill. kroner. Midlene fordeles etter delkostnadsnøkkelen for barnevern.</w:t>
      </w:r>
    </w:p>
    <w:p w14:paraId="6BE8D0CC" w14:textId="5BB5990B" w:rsidR="003433F4" w:rsidRDefault="003433F4" w:rsidP="003433F4">
      <w:r w:rsidRPr="003433F4">
        <w:t>Som en følge av barnevernsreformen, foreslås det å innlemme det øremerkede tilskuddet til stillinger i de kommunale barnevernstjenestene på kap. 854, post 60 i rammetilskuddet til kommunene. Rammetilskuddet økes med 841 mill. kroner som fordeles etter delkostnadsnøkkelen for barnevern.</w:t>
      </w:r>
    </w:p>
    <w:p w14:paraId="60BD2F0F" w14:textId="4F234FDB" w:rsidR="00A20AF1" w:rsidRPr="003433F4" w:rsidRDefault="00A20AF1" w:rsidP="003433F4">
      <w:r>
        <w:t xml:space="preserve">Endringer i fordelingen til den enkelte kommune </w:t>
      </w:r>
      <w:r w:rsidR="00B00BB6">
        <w:t>ved en innlemming vil inngå i grunnlaget for inntektsgarantiordningen (INGAR).</w:t>
      </w:r>
    </w:p>
    <w:p w14:paraId="6424CAA9" w14:textId="1CC9F2B6" w:rsidR="00B419BD" w:rsidRDefault="008D7B92" w:rsidP="00AE712D">
      <w:pPr>
        <w:spacing w:after="0"/>
        <w:rPr>
          <w:rFonts w:eastAsia="Calibri" w:cs="Open Sans"/>
        </w:rPr>
      </w:pPr>
      <w:r>
        <w:rPr>
          <w:rFonts w:eastAsia="Calibri" w:cs="Open Sans"/>
        </w:rPr>
        <w:t>Reformen gi</w:t>
      </w:r>
      <w:r w:rsidR="00B00BB6">
        <w:rPr>
          <w:rFonts w:eastAsia="Calibri" w:cs="Open Sans"/>
        </w:rPr>
        <w:t>r</w:t>
      </w:r>
      <w:r>
        <w:rPr>
          <w:rFonts w:eastAsia="Calibri" w:cs="Open Sans"/>
        </w:rPr>
        <w:t xml:space="preserve"> større utslag for enkelte kommuner, avhengig av deres bruk av barneverntiltak. </w:t>
      </w:r>
      <w:r w:rsidR="00A20AF1">
        <w:rPr>
          <w:rFonts w:eastAsia="Calibri" w:cs="Open Sans"/>
        </w:rPr>
        <w:t xml:space="preserve">Vi har tatt hensyn til denne saken når størrelsen på de tilbakeholdte skjønnsmidler for 2022 er fastsatt på 46 mill. kr. Vi ønsker </w:t>
      </w:r>
      <w:r w:rsidR="00B419BD">
        <w:rPr>
          <w:rFonts w:eastAsia="Calibri" w:cs="Open Sans"/>
        </w:rPr>
        <w:t xml:space="preserve">en dialog med de kommunene som forventer å tape på omleggingen. For å få en best mulig oversikt for en evt. tildeling av skjønnsmidler trenger vi gode beregninger på effektene for den enkelte kommune. Dette kan vi kun få i samarbeid med dere. </w:t>
      </w:r>
    </w:p>
    <w:p w14:paraId="23E5D41E" w14:textId="77777777" w:rsidR="00B419BD" w:rsidRDefault="00B419BD" w:rsidP="00AE712D">
      <w:pPr>
        <w:spacing w:after="0"/>
        <w:rPr>
          <w:rFonts w:eastAsia="Calibri" w:cs="Open Sans"/>
        </w:rPr>
      </w:pPr>
    </w:p>
    <w:p w14:paraId="47EDE6D3" w14:textId="0545249B" w:rsidR="00263503" w:rsidRDefault="00263503" w:rsidP="0076289F">
      <w:pPr>
        <w:pStyle w:val="Overskrift2"/>
        <w:numPr>
          <w:ilvl w:val="1"/>
          <w:numId w:val="2"/>
        </w:numPr>
        <w:rPr>
          <w:rFonts w:eastAsia="Calibri"/>
        </w:rPr>
      </w:pPr>
      <w:bookmarkStart w:id="12" w:name="_Toc85029690"/>
      <w:r>
        <w:rPr>
          <w:rFonts w:eastAsia="Calibri"/>
        </w:rPr>
        <w:t>Ressurskrevende tjenester</w:t>
      </w:r>
      <w:bookmarkEnd w:id="12"/>
    </w:p>
    <w:p w14:paraId="5749D6FC" w14:textId="34CB91D0" w:rsidR="00FB19DF" w:rsidRDefault="00FB19DF" w:rsidP="00AE712D">
      <w:pPr>
        <w:spacing w:after="0"/>
      </w:pPr>
      <w:r>
        <w:t>Kommunene har ansvaret for å gi helse- og omsorgstjenester til dem som har krav på dette i henhold til helse- og omsorgstjenesteloven. Tjenestene finansieres i hovedsak gjennom kommunenes frie inntekter (skatteinntekter og rammetilskudd). Behovet for ressurskrevende tjenester varierer betydelig mellom kommuner. Det har foreløpig vært vanskelig å finne objektive kriterier i inntektssystemet som kan fange opp denne kostnadsvariasjonen.</w:t>
      </w:r>
    </w:p>
    <w:p w14:paraId="00A59D6D" w14:textId="77777777" w:rsidR="00AE712D" w:rsidRPr="00FB19DF" w:rsidRDefault="00AE712D" w:rsidP="00AE712D">
      <w:pPr>
        <w:spacing w:after="0"/>
      </w:pPr>
    </w:p>
    <w:p w14:paraId="0F690EB4" w14:textId="77777777" w:rsidR="00263503" w:rsidRPr="00263503" w:rsidRDefault="00263503" w:rsidP="00AE712D">
      <w:pPr>
        <w:spacing w:after="0"/>
        <w:rPr>
          <w:b/>
          <w:bCs/>
        </w:rPr>
      </w:pPr>
      <w:r w:rsidRPr="00263503">
        <w:rPr>
          <w:b/>
          <w:bCs/>
        </w:rPr>
        <w:t>Utbetalingene i 2021</w:t>
      </w:r>
    </w:p>
    <w:p w14:paraId="4C65D4B3" w14:textId="6C950F4C" w:rsidR="00263503" w:rsidRDefault="00263503" w:rsidP="00AE712D">
      <w:pPr>
        <w:spacing w:after="0"/>
      </w:pPr>
      <w:r w:rsidRPr="00263503">
        <w:t xml:space="preserve">Det ble betalt ut 955 mill. kroner mindre enn budsjettet for 2021. </w:t>
      </w:r>
    </w:p>
    <w:p w14:paraId="2D78D95D" w14:textId="77777777" w:rsidR="00263503" w:rsidRPr="00263503" w:rsidRDefault="00263503" w:rsidP="00AE712D">
      <w:pPr>
        <w:spacing w:after="0"/>
      </w:pPr>
    </w:p>
    <w:p w14:paraId="799DB18A" w14:textId="53E50A4F" w:rsidR="00263503" w:rsidRDefault="00263503" w:rsidP="00AE712D">
      <w:pPr>
        <w:spacing w:after="0"/>
      </w:pPr>
      <w:r w:rsidRPr="00263503">
        <w:t>Reduksjon i pensjonspremiene og en termin med lavere arbeidsgiversats i 2020 er bakgrunnen for nedgangen i kommunenes utgifter og refusjonskrav. Effekten er anslått til om lag 1,1 mrd. kroner.</w:t>
      </w:r>
    </w:p>
    <w:p w14:paraId="14C9574D" w14:textId="77777777" w:rsidR="00263503" w:rsidRPr="00263503" w:rsidRDefault="00263503" w:rsidP="00AE712D">
      <w:pPr>
        <w:spacing w:after="0"/>
      </w:pPr>
    </w:p>
    <w:p w14:paraId="31B0E528" w14:textId="0B26D1A2" w:rsidR="00263503" w:rsidRDefault="00263503" w:rsidP="00AE712D">
      <w:pPr>
        <w:spacing w:after="0"/>
      </w:pPr>
      <w:r w:rsidRPr="00263503">
        <w:t xml:space="preserve">Det betyr at den underliggende veksten fortsatt er sterk. </w:t>
      </w:r>
    </w:p>
    <w:p w14:paraId="6B44F137" w14:textId="77777777" w:rsidR="00263503" w:rsidRPr="00263503" w:rsidRDefault="00263503" w:rsidP="00AE712D">
      <w:pPr>
        <w:spacing w:after="0"/>
      </w:pPr>
    </w:p>
    <w:p w14:paraId="6A540A44" w14:textId="77777777" w:rsidR="00263503" w:rsidRPr="00263503" w:rsidRDefault="00263503" w:rsidP="00AE712D">
      <w:pPr>
        <w:spacing w:after="0"/>
        <w:rPr>
          <w:b/>
          <w:bCs/>
        </w:rPr>
      </w:pPr>
      <w:r w:rsidRPr="00263503">
        <w:rPr>
          <w:b/>
          <w:bCs/>
        </w:rPr>
        <w:t>Kutt på 300 mill.</w:t>
      </w:r>
    </w:p>
    <w:p w14:paraId="351AD1A2" w14:textId="77777777" w:rsidR="00263503" w:rsidRPr="00263503" w:rsidRDefault="00263503" w:rsidP="00AE712D">
      <w:pPr>
        <w:spacing w:after="0"/>
      </w:pPr>
      <w:r w:rsidRPr="00263503">
        <w:t>Det har vært en svært sterkt underliggende vekst i ordningen for ressurskrevende tjenester siden den ble innført i 2004. Da var utbetalingene på 1,5 milliarder kroner, mens det i budsjettet for 2022 bevilges nærmere 12 milliarder kroner.</w:t>
      </w:r>
    </w:p>
    <w:p w14:paraId="60E90226" w14:textId="39F7C0E6" w:rsidR="00263503" w:rsidRDefault="00263503" w:rsidP="00AE712D">
      <w:pPr>
        <w:spacing w:after="0"/>
      </w:pPr>
      <w:r w:rsidRPr="00263503">
        <w:t>Kompensasjonsgraden beholdes uendret på 80 prosent.</w:t>
      </w:r>
    </w:p>
    <w:p w14:paraId="70B014FD" w14:textId="77777777" w:rsidR="00263503" w:rsidRPr="00263503" w:rsidRDefault="00263503" w:rsidP="00AE712D">
      <w:pPr>
        <w:spacing w:after="0"/>
      </w:pPr>
    </w:p>
    <w:p w14:paraId="660464E3" w14:textId="31FA3E77" w:rsidR="00263503" w:rsidRPr="00263503" w:rsidRDefault="00263503" w:rsidP="00AE712D">
      <w:pPr>
        <w:spacing w:after="0"/>
      </w:pPr>
      <w:r w:rsidRPr="00263503">
        <w:t>Det foreslås en innstramming ved å øke innslagspunktet med 50 000 kroner utover lønnsveksten.</w:t>
      </w:r>
      <w:r w:rsidR="00FB19DF" w:rsidRPr="00FB19DF">
        <w:t xml:space="preserve"> </w:t>
      </w:r>
      <w:r w:rsidR="00FB19DF">
        <w:t>Innslagspunktet foreslås økt til 1 520 000 kroner.</w:t>
      </w:r>
    </w:p>
    <w:p w14:paraId="519F46AF" w14:textId="2E221B28" w:rsidR="00263503" w:rsidRDefault="00263503" w:rsidP="00AE712D">
      <w:pPr>
        <w:spacing w:after="0"/>
      </w:pPr>
      <w:r w:rsidRPr="00263503">
        <w:t xml:space="preserve">Dette er en innstramming tilsvarende 300 millioner kroner og vil påvirke kommunenes budsjetter allerede for 2021. </w:t>
      </w:r>
    </w:p>
    <w:p w14:paraId="6D78A113" w14:textId="77777777" w:rsidR="00263503" w:rsidRPr="00263503" w:rsidRDefault="00263503" w:rsidP="00AE712D">
      <w:pPr>
        <w:spacing w:after="0"/>
      </w:pPr>
    </w:p>
    <w:p w14:paraId="666788D4" w14:textId="47C8440C" w:rsidR="00263503" w:rsidRDefault="00263503" w:rsidP="00AE712D">
      <w:pPr>
        <w:spacing w:after="0"/>
      </w:pPr>
      <w:r w:rsidRPr="00263503">
        <w:t>Innstrammingen vil i utgangspunktet ikke påvirke tjenestetilbudet til mottakerne, da de vil ha rettigheter etter blant annet helse- og omsorgstjenesteloven.</w:t>
      </w:r>
    </w:p>
    <w:p w14:paraId="68E75ACC" w14:textId="77777777" w:rsidR="00263503" w:rsidRPr="00263503" w:rsidRDefault="00263503" w:rsidP="00AE712D">
      <w:pPr>
        <w:spacing w:after="0"/>
      </w:pPr>
    </w:p>
    <w:p w14:paraId="747D04E4" w14:textId="6E16859B" w:rsidR="00263503" w:rsidRDefault="0046491A" w:rsidP="00263503">
      <w:pPr>
        <w:rPr>
          <w:b/>
          <w:bCs/>
        </w:rPr>
      </w:pPr>
      <w:r w:rsidRPr="0046491A">
        <w:rPr>
          <w:b/>
          <w:bCs/>
        </w:rPr>
        <w:t xml:space="preserve">Tilleggskompensasjon </w:t>
      </w:r>
      <w:r w:rsidR="00B419BD">
        <w:rPr>
          <w:b/>
          <w:bCs/>
        </w:rPr>
        <w:t xml:space="preserve">til </w:t>
      </w:r>
      <w:r w:rsidR="005500E5">
        <w:rPr>
          <w:b/>
          <w:bCs/>
        </w:rPr>
        <w:t>mindre</w:t>
      </w:r>
      <w:r w:rsidR="00B419BD">
        <w:rPr>
          <w:b/>
          <w:bCs/>
        </w:rPr>
        <w:t xml:space="preserve"> kommuner med høye utgifter</w:t>
      </w:r>
    </w:p>
    <w:p w14:paraId="4DB79C62" w14:textId="171CD797" w:rsidR="00B419BD" w:rsidRPr="00B419BD" w:rsidRDefault="005500E5" w:rsidP="00263503">
      <w:r>
        <w:t>I regionen vår gjelder</w:t>
      </w:r>
      <w:r w:rsidR="00B419BD" w:rsidRPr="00B419BD">
        <w:t xml:space="preserve"> dette foreløpig kun Rollag kommune. </w:t>
      </w:r>
    </w:p>
    <w:p w14:paraId="343DF42F" w14:textId="3CEB615C" w:rsidR="0046491A" w:rsidRDefault="0046491A" w:rsidP="00AE712D">
      <w:pPr>
        <w:spacing w:after="0"/>
        <w:rPr>
          <w:rFonts w:eastAsia="Calibri" w:cs="Open Sans"/>
        </w:rPr>
      </w:pPr>
      <w:r w:rsidRPr="0046491A">
        <w:rPr>
          <w:rFonts w:eastAsia="Calibri" w:cs="Open Sans"/>
        </w:rPr>
        <w:t>Fra 2022 foreslås det å gå over fra en fordeling via skjønnsmidlene til en øremerket ordning.</w:t>
      </w:r>
    </w:p>
    <w:p w14:paraId="2D02D1BA" w14:textId="77777777" w:rsidR="00AE712D" w:rsidRDefault="00AE712D" w:rsidP="00AE712D">
      <w:pPr>
        <w:spacing w:after="0"/>
        <w:rPr>
          <w:rFonts w:eastAsia="Calibri" w:cs="Open Sans"/>
        </w:rPr>
      </w:pPr>
    </w:p>
    <w:p w14:paraId="47CD7475" w14:textId="38C21342" w:rsidR="0046491A" w:rsidRDefault="0046491A" w:rsidP="00AE712D">
      <w:pPr>
        <w:spacing w:after="0"/>
        <w:rPr>
          <w:rFonts w:eastAsia="Calibri" w:cs="Open Sans"/>
        </w:rPr>
      </w:pPr>
      <w:r w:rsidRPr="0046491A">
        <w:rPr>
          <w:rFonts w:eastAsia="Calibri" w:cs="Open Sans"/>
        </w:rPr>
        <w:t>55 mill. kroner vil bli fordelt av Helsedirektoratet til kommunene sammen med den ordinære utbetalingen i toppfinansieringsordningen i juni 2022.</w:t>
      </w:r>
    </w:p>
    <w:p w14:paraId="0869A0C6" w14:textId="77777777" w:rsidR="00AE712D" w:rsidRDefault="00AE712D" w:rsidP="00AE712D">
      <w:pPr>
        <w:spacing w:after="0"/>
        <w:rPr>
          <w:rFonts w:eastAsia="Calibri" w:cs="Open Sans"/>
        </w:rPr>
      </w:pPr>
    </w:p>
    <w:p w14:paraId="2FF98DFD" w14:textId="71D42D92" w:rsidR="0046491A" w:rsidRDefault="0046491A" w:rsidP="00AE712D">
      <w:pPr>
        <w:spacing w:after="0"/>
        <w:rPr>
          <w:rFonts w:eastAsia="Calibri" w:cs="Open Sans"/>
        </w:rPr>
      </w:pPr>
      <w:r w:rsidRPr="0046491A">
        <w:rPr>
          <w:rFonts w:eastAsia="Calibri" w:cs="Open Sans"/>
        </w:rPr>
        <w:t>Det foreslås følgende kriterier for at kommuner skal kvalifisere for tilskuddet:</w:t>
      </w:r>
    </w:p>
    <w:p w14:paraId="73E524CF" w14:textId="77777777" w:rsidR="0046491A" w:rsidRPr="0046491A" w:rsidRDefault="0046491A" w:rsidP="00AE712D">
      <w:pPr>
        <w:spacing w:after="0"/>
        <w:rPr>
          <w:rFonts w:eastAsia="Calibri" w:cs="Open Sans"/>
        </w:rPr>
      </w:pPr>
    </w:p>
    <w:p w14:paraId="13C8E274" w14:textId="77777777" w:rsidR="0046491A" w:rsidRPr="00EE3407" w:rsidRDefault="0046491A" w:rsidP="00AE712D">
      <w:pPr>
        <w:pStyle w:val="Listeavsnitt"/>
        <w:numPr>
          <w:ilvl w:val="0"/>
          <w:numId w:val="27"/>
        </w:numPr>
        <w:spacing w:after="0"/>
        <w:rPr>
          <w:rFonts w:eastAsia="Calibri" w:cs="Open Sans"/>
        </w:rPr>
      </w:pPr>
      <w:r w:rsidRPr="00EE3407">
        <w:rPr>
          <w:rFonts w:eastAsia="Calibri" w:cs="Open Sans"/>
        </w:rPr>
        <w:t>har færre enn 3 200 innbyggere,</w:t>
      </w:r>
    </w:p>
    <w:p w14:paraId="1CA430D1" w14:textId="77777777" w:rsidR="0046491A" w:rsidRPr="00EE3407" w:rsidRDefault="0046491A" w:rsidP="00AE712D">
      <w:pPr>
        <w:pStyle w:val="Listeavsnitt"/>
        <w:numPr>
          <w:ilvl w:val="0"/>
          <w:numId w:val="27"/>
        </w:numPr>
        <w:spacing w:after="0"/>
        <w:rPr>
          <w:rFonts w:eastAsia="Calibri" w:cs="Open Sans"/>
        </w:rPr>
      </w:pPr>
      <w:r w:rsidRPr="00EE3407">
        <w:rPr>
          <w:rFonts w:eastAsia="Calibri" w:cs="Open Sans"/>
        </w:rPr>
        <w:t xml:space="preserve">har høye utgifter til ressurskrevende tjenester og </w:t>
      </w:r>
    </w:p>
    <w:p w14:paraId="61F19000" w14:textId="0EE35A06" w:rsidR="0046491A" w:rsidRDefault="0046491A" w:rsidP="00AE712D">
      <w:pPr>
        <w:pStyle w:val="Listeavsnitt"/>
        <w:numPr>
          <w:ilvl w:val="0"/>
          <w:numId w:val="27"/>
        </w:numPr>
        <w:spacing w:after="0"/>
        <w:rPr>
          <w:rFonts w:eastAsia="Calibri" w:cs="Open Sans"/>
        </w:rPr>
      </w:pPr>
      <w:r w:rsidRPr="00EE3407">
        <w:rPr>
          <w:rFonts w:eastAsia="Calibri" w:cs="Open Sans"/>
        </w:rPr>
        <w:t>har gjennomsnittlige skatteinntekter de siste tre årene som er lavere enn 120 prosent av landsgjennomsnittet.</w:t>
      </w:r>
    </w:p>
    <w:p w14:paraId="4301575D" w14:textId="77777777" w:rsidR="00AE712D" w:rsidRPr="00EE3407" w:rsidRDefault="00AE712D" w:rsidP="00AE712D">
      <w:pPr>
        <w:pStyle w:val="Listeavsnitt"/>
        <w:spacing w:after="0"/>
        <w:rPr>
          <w:rFonts w:eastAsia="Calibri" w:cs="Open Sans"/>
        </w:rPr>
      </w:pPr>
    </w:p>
    <w:p w14:paraId="0B2E342F" w14:textId="3989EBE0" w:rsidR="0046491A" w:rsidRDefault="0046491A" w:rsidP="00AE712D">
      <w:pPr>
        <w:spacing w:after="0"/>
        <w:rPr>
          <w:rFonts w:eastAsia="Calibri" w:cs="Open Sans"/>
        </w:rPr>
      </w:pPr>
      <w:r w:rsidRPr="0046491A">
        <w:rPr>
          <w:rFonts w:eastAsia="Calibri" w:cs="Open Sans"/>
        </w:rPr>
        <w:t>Med høye utgifter til ressurskrevende tjenester menes den delen av innrapporterte nettoutgifter i toppfinansieringsordningen som er "egenandeler" for kommunene</w:t>
      </w:r>
      <w:r w:rsidR="00AE712D">
        <w:rPr>
          <w:rFonts w:eastAsia="Calibri" w:cs="Open Sans"/>
        </w:rPr>
        <w:t>.</w:t>
      </w:r>
    </w:p>
    <w:p w14:paraId="7B2AD0BB" w14:textId="77777777" w:rsidR="00AE712D" w:rsidRDefault="00AE712D" w:rsidP="00AE712D">
      <w:pPr>
        <w:spacing w:after="0"/>
        <w:rPr>
          <w:rFonts w:eastAsia="Calibri" w:cs="Open Sans"/>
        </w:rPr>
      </w:pPr>
    </w:p>
    <w:p w14:paraId="0E553699" w14:textId="7D6A03A5" w:rsidR="0046491A" w:rsidRDefault="0046491A" w:rsidP="00AE712D">
      <w:pPr>
        <w:spacing w:after="0"/>
        <w:rPr>
          <w:rFonts w:eastAsia="Calibri" w:cs="Open Sans"/>
        </w:rPr>
      </w:pPr>
      <w:r w:rsidRPr="0046491A">
        <w:rPr>
          <w:rFonts w:eastAsia="Calibri" w:cs="Open Sans"/>
        </w:rPr>
        <w:t xml:space="preserve">De kommunene som oppfyller de ovennevnte </w:t>
      </w:r>
      <w:r w:rsidR="00EE3407" w:rsidRPr="0046491A">
        <w:rPr>
          <w:rFonts w:eastAsia="Calibri" w:cs="Open Sans"/>
        </w:rPr>
        <w:t>kriteriene,</w:t>
      </w:r>
      <w:r w:rsidRPr="0046491A">
        <w:rPr>
          <w:rFonts w:eastAsia="Calibri" w:cs="Open Sans"/>
        </w:rPr>
        <w:t xml:space="preserve"> får kompensert for 80 prosent av utgiftene/egenandelene over en terskelverdi per innbygger. Terskelverdien er anslått til 6 200 kroner per innbygger, men vil bli tilpasset rammen til bevilgningen i forbindelse med utbetalingene i juni 2022. </w:t>
      </w:r>
    </w:p>
    <w:p w14:paraId="671ABD10" w14:textId="07D3ECDA" w:rsidR="003433F4" w:rsidRDefault="003433F4" w:rsidP="00AE712D">
      <w:pPr>
        <w:spacing w:after="0"/>
        <w:rPr>
          <w:rFonts w:eastAsia="Calibri" w:cs="Open Sans"/>
        </w:rPr>
      </w:pPr>
    </w:p>
    <w:p w14:paraId="711E2AFC" w14:textId="6E1AC981" w:rsidR="00F22AE5" w:rsidRDefault="00263503" w:rsidP="0076289F">
      <w:pPr>
        <w:pStyle w:val="Overskrift2"/>
        <w:numPr>
          <w:ilvl w:val="1"/>
          <w:numId w:val="2"/>
        </w:numPr>
        <w:rPr>
          <w:rFonts w:eastAsia="Calibri"/>
        </w:rPr>
      </w:pPr>
      <w:bookmarkStart w:id="13" w:name="_Toc85029691"/>
      <w:r>
        <w:rPr>
          <w:rFonts w:eastAsia="Calibri"/>
        </w:rPr>
        <w:t>A</w:t>
      </w:r>
      <w:r w:rsidR="0046491A">
        <w:rPr>
          <w:rFonts w:eastAsia="Calibri"/>
        </w:rPr>
        <w:t>ndre a</w:t>
      </w:r>
      <w:r>
        <w:rPr>
          <w:rFonts w:eastAsia="Calibri"/>
        </w:rPr>
        <w:t>ktuelle s</w:t>
      </w:r>
      <w:r w:rsidR="00F22AE5">
        <w:rPr>
          <w:rFonts w:eastAsia="Calibri"/>
        </w:rPr>
        <w:t>aker av betydning for kommunene</w:t>
      </w:r>
      <w:bookmarkEnd w:id="13"/>
    </w:p>
    <w:p w14:paraId="729699F0" w14:textId="77777777" w:rsidR="00263503" w:rsidRPr="00263503" w:rsidRDefault="00F22AE5" w:rsidP="00AE712D">
      <w:pPr>
        <w:spacing w:after="0"/>
        <w:rPr>
          <w:b/>
          <w:bCs/>
        </w:rPr>
      </w:pPr>
      <w:r w:rsidRPr="00263503">
        <w:rPr>
          <w:b/>
          <w:bCs/>
        </w:rPr>
        <w:t xml:space="preserve">Ny oppgave- og ansvarsdeling i barnevernet – avvikling av forsøk </w:t>
      </w:r>
    </w:p>
    <w:p w14:paraId="0D754777" w14:textId="19A875BC" w:rsidR="00263503" w:rsidRDefault="00F22AE5" w:rsidP="00AE712D">
      <w:pPr>
        <w:spacing w:after="0"/>
      </w:pPr>
      <w:r>
        <w:t xml:space="preserve">Som følge av at forsøket med ny oppgave- og ansvarsdeling i barnevernet avsluttes når barnevernsreformen trer i kraft fra 2022, tilbakeføres 40 mill. kroner fra rammetilskuddet til kommunene til Barne- og familiedepartementets budsjett. Kommunene i forsøket, Alta og Færder, tildeles en engangsbevilgning i 2022 på hhv. 9,6 og 10,8 mill. kroner som fordeles særskilt (tabell C) i tillegg til kompensasjonen som følger av barnevernsreformen. Formålet er å lette overgangen fra forsøksdeltakelsen. Se nærmere omtale i Prop. 1 S (2021–2021) for Barne- og familiedepartementet. </w:t>
      </w:r>
    </w:p>
    <w:p w14:paraId="6EB964AB" w14:textId="77777777" w:rsidR="00AE712D" w:rsidRDefault="00AE712D" w:rsidP="00AE712D">
      <w:pPr>
        <w:spacing w:after="0"/>
      </w:pPr>
    </w:p>
    <w:p w14:paraId="1FD796EF" w14:textId="77777777" w:rsidR="00263503" w:rsidRPr="00263503" w:rsidRDefault="00F22AE5" w:rsidP="00AE712D">
      <w:pPr>
        <w:spacing w:after="0"/>
        <w:rPr>
          <w:b/>
          <w:bCs/>
        </w:rPr>
      </w:pPr>
      <w:r w:rsidRPr="00263503">
        <w:rPr>
          <w:b/>
          <w:bCs/>
        </w:rPr>
        <w:t xml:space="preserve">Inntektsgradert foreldrebetaling i SFO på 3.–4. trinn – helårseffekt av endring i 2021 </w:t>
      </w:r>
    </w:p>
    <w:p w14:paraId="01A51058" w14:textId="5957D6E0" w:rsidR="00263503" w:rsidRDefault="00F22AE5" w:rsidP="00AE712D">
      <w:pPr>
        <w:spacing w:after="0"/>
      </w:pPr>
      <w:r>
        <w:t xml:space="preserve">Ved behandlingen av statsbudsjettet for 2021 ble det besluttet å utvide den nasjonale ordningen med inntektsgradert foreldrebetaling i SFO til 3.– 4. trinn fra skoleåret 2021/2022. Rammetilskuddet til kommunene ble økt med 25 mill. kroner som kompensasjon. Endringen får helårseffekt i 2022, og rammetilskuddet blir derfor økt med ytterligere 35,9 mill. kroner som fordeles etter delskostnadsnøkkelen for grunnskole. Se nærmere omtale i Prop. 1 S (2021–2022) for Kunnskapsdepartementet. </w:t>
      </w:r>
    </w:p>
    <w:p w14:paraId="19DB38CD" w14:textId="77777777" w:rsidR="00AE712D" w:rsidRDefault="00AE712D" w:rsidP="00AE712D">
      <w:pPr>
        <w:spacing w:after="0"/>
      </w:pPr>
    </w:p>
    <w:p w14:paraId="44476AA7" w14:textId="02D35D0B" w:rsidR="00263503" w:rsidRPr="00263503" w:rsidRDefault="00F22AE5" w:rsidP="00AE712D">
      <w:pPr>
        <w:spacing w:after="0"/>
        <w:rPr>
          <w:b/>
          <w:bCs/>
        </w:rPr>
      </w:pPr>
      <w:r w:rsidRPr="00263503">
        <w:rPr>
          <w:b/>
          <w:bCs/>
        </w:rPr>
        <w:t xml:space="preserve">Kapitaltilskudd til private barnehager </w:t>
      </w:r>
    </w:p>
    <w:p w14:paraId="61A6F055" w14:textId="7ECD5669" w:rsidR="00263503" w:rsidRDefault="00F22AE5" w:rsidP="00AE712D">
      <w:pPr>
        <w:spacing w:after="0"/>
      </w:pPr>
      <w:r>
        <w:t xml:space="preserve">Ved behandlingen av Prop. 1 S (2020–2021) for Kunnskapsdepartementet vedtok Stortinget å videreføre satsene for kapitaltilskuddet til private barnehager nominelt på samme nivå i 2021 som i 2020, i utgangspunktet for første halvår 2021. Ved behandlingen av Prop. 195 S (2020–2021) vedtok Stortinget at satsene også skulle </w:t>
      </w:r>
      <w:r>
        <w:lastRenderedPageBreak/>
        <w:t xml:space="preserve">videreføres på 2020-nivå i andre halvår 2021. Økningene i rammetilskuddet som kompenserte for den midlertidige videreføringen av kapitaltilskuddet i 2021, korrigeres ut i 2022. Rammetilskuddet reduseres derfor med 265,7 mill. kroner. Se nærmere omtale i Prop. 1 S (2021–2022) for Kunnskapsdepartementet. </w:t>
      </w:r>
    </w:p>
    <w:p w14:paraId="6AB322EB" w14:textId="77777777" w:rsidR="00AE712D" w:rsidRDefault="00AE712D" w:rsidP="00AE712D">
      <w:pPr>
        <w:spacing w:after="0"/>
      </w:pPr>
    </w:p>
    <w:p w14:paraId="3E6B5AD7" w14:textId="77777777" w:rsidR="00263503" w:rsidRDefault="00F22AE5" w:rsidP="00F22AE5">
      <w:r w:rsidRPr="00263503">
        <w:rPr>
          <w:b/>
          <w:bCs/>
        </w:rPr>
        <w:t>Pensjon i private barnehager – redusert tilskudd og skjermingsordning</w:t>
      </w:r>
      <w:r>
        <w:t xml:space="preserve"> Kunnskapsdepartementet foreslår å redusere pensjonspåslaget til private barnehager fra dagens nivå på 13 pst. til 11 pst. fra 1. januar 2022. For å gi barnehager med mindre økonomisk handlingsrom noe bedre tid til å tilpasse seg inntektsbortfallet opprettes en ny overgangsordning for enkeltstående barnehager. Samlet sett innebærer dette at kommunene får lavere utgifter til private barnehager. Rammetilskuddet reduseres derfor med 206,9 mill. kroner. Se nærmere omtale i Prop. 1 S (2021–2022) for Kunnskapsdepartementet. </w:t>
      </w:r>
    </w:p>
    <w:p w14:paraId="14A9AE66" w14:textId="77777777" w:rsidR="00263503" w:rsidRPr="00263503" w:rsidRDefault="00F22AE5" w:rsidP="00AE712D">
      <w:pPr>
        <w:spacing w:after="0"/>
        <w:rPr>
          <w:b/>
          <w:bCs/>
        </w:rPr>
      </w:pPr>
      <w:r w:rsidRPr="00263503">
        <w:rPr>
          <w:b/>
          <w:bCs/>
        </w:rPr>
        <w:t xml:space="preserve">Økonomisk tilsyn med private barnehager </w:t>
      </w:r>
    </w:p>
    <w:p w14:paraId="22888AA1" w14:textId="6DDF1066" w:rsidR="00263503" w:rsidRDefault="00F22AE5" w:rsidP="00AE712D">
      <w:pPr>
        <w:spacing w:after="0"/>
      </w:pPr>
      <w:r>
        <w:t>Ansvaret for å føre økonomisk tilsyn med private barnehager skal etter planen overføres fra kommunene til det nyopprettede nasjonale tilsynet i Utdanningsdirektoratet fra 1.1.2022. Det foreslås derfor å overføre 5 mill. kroner fra rammetilskuddet til kommunene til kap. 231, post 21 på Kunn</w:t>
      </w:r>
      <w:r w:rsidR="00263503">
        <w:t xml:space="preserve">skapsdepartementets budsjett. Se nærmere omtale i Prop. 1 S (2021–2022) for Kunnskapsdepartementet. </w:t>
      </w:r>
    </w:p>
    <w:p w14:paraId="21850900" w14:textId="77777777" w:rsidR="00AE712D" w:rsidRDefault="00AE712D" w:rsidP="00AE712D">
      <w:pPr>
        <w:spacing w:after="0"/>
      </w:pPr>
    </w:p>
    <w:p w14:paraId="5302F37C" w14:textId="77777777" w:rsidR="00263503" w:rsidRPr="00263503" w:rsidRDefault="00263503" w:rsidP="00AE712D">
      <w:pPr>
        <w:spacing w:after="0"/>
        <w:rPr>
          <w:b/>
          <w:bCs/>
        </w:rPr>
      </w:pPr>
      <w:r w:rsidRPr="00263503">
        <w:rPr>
          <w:b/>
          <w:bCs/>
        </w:rPr>
        <w:t xml:space="preserve">En ekstra skoletime naturfag i grunnskolen </w:t>
      </w:r>
    </w:p>
    <w:p w14:paraId="478E982C" w14:textId="07B706DE" w:rsidR="00263503" w:rsidRDefault="00263503" w:rsidP="00AE712D">
      <w:pPr>
        <w:spacing w:after="0"/>
      </w:pPr>
      <w:r>
        <w:t xml:space="preserve">Det innføres en ekstra time naturfag i grunnskolen fra skoleåret 2022/2023. Kommunesektoren kompenseres gjennom en økning i rammetilskuddet på 99,8 mill. kroner. Midlene fordeles etter delkostnadsnøkkelen for grunnskole. Se nærmere omtale i Prop. 1 S (2021–2022) for Kunnskapsdepartementet. </w:t>
      </w:r>
    </w:p>
    <w:p w14:paraId="138F192A" w14:textId="77777777" w:rsidR="00AE712D" w:rsidRDefault="00AE712D" w:rsidP="00AE712D">
      <w:pPr>
        <w:spacing w:after="0"/>
      </w:pPr>
    </w:p>
    <w:p w14:paraId="304F9F6A" w14:textId="77777777" w:rsidR="00263503" w:rsidRPr="00263503" w:rsidRDefault="00263503" w:rsidP="00AE712D">
      <w:pPr>
        <w:spacing w:after="0"/>
        <w:rPr>
          <w:b/>
          <w:bCs/>
        </w:rPr>
      </w:pPr>
      <w:r w:rsidRPr="00263503">
        <w:rPr>
          <w:b/>
          <w:bCs/>
        </w:rPr>
        <w:t>Basistilskudd til fastleger – helårseffekt av endring i 2021</w:t>
      </w:r>
    </w:p>
    <w:p w14:paraId="0CB5F4E9" w14:textId="73C521AB" w:rsidR="00263503" w:rsidRDefault="00263503" w:rsidP="00AE712D">
      <w:pPr>
        <w:spacing w:after="0"/>
      </w:pPr>
      <w:r>
        <w:t xml:space="preserve"> I forbindelse med behandlingen av revidert nasjonalbudsjett for 2021 ble rammetilskuddet til kommunene økt med 75 mill. kroner som kompensasjon for en økning av basistilskuddet til fastleger under knekkpunktet fra 1. juli 2021. Som kompensasjon for helårseffekten økes rammetilskuddet med ytterligere 77,1 mill. kroner i 2022. Midlene fordeles etter delkostnadsnøkkelen for kommunehelse. Se nærmere omtale i Prop. 1 S (2021–2022) for Helse- og omsorgsdepartementet. </w:t>
      </w:r>
    </w:p>
    <w:p w14:paraId="6CA98CE9" w14:textId="77777777" w:rsidR="00AE712D" w:rsidRDefault="00AE712D" w:rsidP="00AE712D">
      <w:pPr>
        <w:spacing w:after="0"/>
      </w:pPr>
    </w:p>
    <w:p w14:paraId="67A77E62" w14:textId="77777777" w:rsidR="00263503" w:rsidRPr="00263503" w:rsidRDefault="00263503" w:rsidP="00AE712D">
      <w:pPr>
        <w:spacing w:after="0"/>
        <w:rPr>
          <w:b/>
          <w:bCs/>
        </w:rPr>
      </w:pPr>
      <w:r w:rsidRPr="00263503">
        <w:rPr>
          <w:b/>
          <w:bCs/>
        </w:rPr>
        <w:t xml:space="preserve">Basistilskudd til fastleger – økning i 2022 </w:t>
      </w:r>
    </w:p>
    <w:p w14:paraId="3CA2791D" w14:textId="3F8FC726" w:rsidR="00F22AE5" w:rsidRDefault="00263503" w:rsidP="00AE712D">
      <w:pPr>
        <w:spacing w:after="0"/>
      </w:pPr>
      <w:r>
        <w:t>Det foreslås at basistilskuddet til fastleger økes ytterligere i 2022. Som kompensasjon økes rammetilskuddet med 51 mill. kroner som fordeles etter delkostnadsnøkkelen for kommunehelse. Se nærmere omtale i Prop. 1 S (2021–2022) for Helse- og omsorgsdepartementet.</w:t>
      </w:r>
    </w:p>
    <w:p w14:paraId="09D7C411" w14:textId="77777777" w:rsidR="00AE712D" w:rsidRPr="00F22AE5" w:rsidRDefault="00AE712D" w:rsidP="00AE712D">
      <w:pPr>
        <w:spacing w:after="0"/>
      </w:pPr>
    </w:p>
    <w:p w14:paraId="1C9EA5B1" w14:textId="77777777" w:rsidR="00263503" w:rsidRPr="00263503" w:rsidRDefault="00263503" w:rsidP="00AE712D">
      <w:pPr>
        <w:spacing w:after="0"/>
        <w:rPr>
          <w:b/>
          <w:bCs/>
        </w:rPr>
      </w:pPr>
      <w:r w:rsidRPr="00263503">
        <w:rPr>
          <w:b/>
          <w:bCs/>
        </w:rPr>
        <w:lastRenderedPageBreak/>
        <w:t xml:space="preserve">Forvaltning og drift av nasjonale e-helseløsninger </w:t>
      </w:r>
    </w:p>
    <w:p w14:paraId="367255F4" w14:textId="77777777" w:rsidR="00263503" w:rsidRDefault="00263503" w:rsidP="00AE712D">
      <w:pPr>
        <w:spacing w:after="0"/>
      </w:pPr>
      <w:r>
        <w:t xml:space="preserve">Helse- og omsorgsdepartementet sendte i juli 2021 på høring et forslag om endringer i pasientjournalloven mv. som legger det rettslige grunnlaget for målet Én innbygger – én journal. Forslaget innebærer blant annet en plikt for kommuner til å betale for kostnadene til forvaltning og drift av helsenettet, inkludert grunndata og </w:t>
      </w:r>
      <w:proofErr w:type="spellStart"/>
      <w:r>
        <w:t>helseID</w:t>
      </w:r>
      <w:proofErr w:type="spellEnd"/>
      <w:r>
        <w:t xml:space="preserve">, og kjernejournal, e-resept og helsenorge.no. Kommunene kompenseres for eksisterende kostnader til forvaltning og drift av løsningene, men må bidra til å dekke kostnadsveksten fra 2021 til 2022. Kommunenes betaling for medlemsavgiften til helsenettet kompenseres fullt ut i 2022. Som følge av dette økes rammetilskuddet med 322,2 mill. kroner mot en tilsvarende reduksjon på kap. 701, post 70 og 72 på Helse- og omsorgsdepartementets budsjett. Midlene fordeles etter delkostnadsnøkkelen for kommunehelse. Se nærmere omtale i Prop. 1 S (2021–2022) for Helse- og omsorgsdepartementet. </w:t>
      </w:r>
    </w:p>
    <w:p w14:paraId="627A6034" w14:textId="77777777" w:rsidR="00263503" w:rsidRDefault="00263503" w:rsidP="00AE712D">
      <w:pPr>
        <w:spacing w:after="0"/>
      </w:pPr>
    </w:p>
    <w:p w14:paraId="4E883980" w14:textId="5B12BB64" w:rsidR="00263503" w:rsidRDefault="00263503" w:rsidP="00AE712D">
      <w:pPr>
        <w:spacing w:after="0"/>
        <w:rPr>
          <w:b/>
          <w:bCs/>
        </w:rPr>
      </w:pPr>
      <w:r w:rsidRPr="00263503">
        <w:rPr>
          <w:b/>
          <w:bCs/>
        </w:rPr>
        <w:t xml:space="preserve">Økte sosialhjelpsutgifter som følge av redusert dagsats for tiltakspenger – kompensasjon </w:t>
      </w:r>
    </w:p>
    <w:p w14:paraId="01290AE2" w14:textId="7116B006" w:rsidR="00F00F61" w:rsidRDefault="00263503" w:rsidP="00AE712D">
      <w:pPr>
        <w:spacing w:after="0"/>
      </w:pPr>
      <w:r>
        <w:t>Det foreslås å innføre en felles dagsats for tiltakspenger tilsvarende minste sats for dagpenger fra 1. januar 2022. Det legges til grunn at tiltakspengemottakere som allerede mottar supplerende sosialhjelp, vil motta mer sosialhjelp når tiltakspengene reduseres. Som kompensasjon for dette økes rammetilskuddet med 69 mill. kroner som fordeles etter delkostnadsnøkkelen for sosialhjelp. Se nærmere omtale i Prop. 1 S (2021–2022) for Arbeids- og sosialdepartementet.</w:t>
      </w:r>
    </w:p>
    <w:p w14:paraId="0E6BC11B" w14:textId="56DBE413" w:rsidR="00263503" w:rsidRDefault="00263503" w:rsidP="00AE712D">
      <w:pPr>
        <w:spacing w:after="0"/>
      </w:pPr>
    </w:p>
    <w:p w14:paraId="336D267F" w14:textId="04B13FFD" w:rsidR="00263503" w:rsidRDefault="00263503" w:rsidP="00AE712D">
      <w:pPr>
        <w:spacing w:after="0"/>
        <w:rPr>
          <w:b/>
          <w:bCs/>
        </w:rPr>
      </w:pPr>
      <w:r w:rsidRPr="00263503">
        <w:rPr>
          <w:b/>
          <w:bCs/>
        </w:rPr>
        <w:t xml:space="preserve">Rusreformen </w:t>
      </w:r>
    </w:p>
    <w:p w14:paraId="4CC9A0BE" w14:textId="19ECFB30" w:rsidR="00263503" w:rsidRDefault="00263503" w:rsidP="00AE712D">
      <w:pPr>
        <w:spacing w:after="0"/>
      </w:pPr>
      <w:r>
        <w:t>Ved Stortingets behandling av Prop. 92 L (2020– 2021) Endringer i helse- og omsorgstjenesteloven og straffeloven m.m. (rusreform – opphevelse av straffansvar m.m.) ble det vedtatt å opprette rådgivende enheter i den kommunale helse- og omsorgstjenesten. Enhetene skal møte personer når oppmøte for enheten er satt som vilkår for en bestemt strafferettslig reaksjon, herunder gjennomføre ruskontroll etter straffeloven § 37 første ledd bokstav d, dersom det er satt som vilkår. Kommunene kompenseres for etablering av enhetene gjennom en økning i rammetilskuddet på 100 mill. kroner. Midlene fordeles etter delkostnadsnøkkelen for sosialhjelp. Se nærmere omtale i Prop. 1 S (2021–2022) for Helse- og omsorgsdepartementet.</w:t>
      </w:r>
    </w:p>
    <w:p w14:paraId="1FBD261E" w14:textId="366C03AC" w:rsidR="00263503" w:rsidRDefault="00263503" w:rsidP="00AE712D">
      <w:pPr>
        <w:spacing w:after="0"/>
      </w:pPr>
    </w:p>
    <w:p w14:paraId="1289156A" w14:textId="0AB80BA5" w:rsidR="00263503" w:rsidRDefault="00263503" w:rsidP="00AE712D">
      <w:pPr>
        <w:spacing w:after="0"/>
        <w:rPr>
          <w:b/>
          <w:bCs/>
        </w:rPr>
      </w:pPr>
      <w:r w:rsidRPr="00263503">
        <w:rPr>
          <w:b/>
          <w:bCs/>
        </w:rPr>
        <w:t xml:space="preserve">Barnekoordinator </w:t>
      </w:r>
    </w:p>
    <w:p w14:paraId="68D5AEDB" w14:textId="0BEB24E4" w:rsidR="00263503" w:rsidRDefault="00263503" w:rsidP="00AE712D">
      <w:pPr>
        <w:spacing w:after="0"/>
      </w:pPr>
      <w:r>
        <w:t xml:space="preserve">Som en del av </w:t>
      </w:r>
      <w:proofErr w:type="spellStart"/>
      <w:r>
        <w:t>Likeverdsreformen</w:t>
      </w:r>
      <w:proofErr w:type="spellEnd"/>
      <w:r>
        <w:t xml:space="preserve"> blir det innført en lovfestet rett til barnekoordinator. Helårsvirkningen for kommunene er anslått til 180 mill. kroner, tilsvarende om lag 280 koordinatorstillinger. Det legges opp til ikrafttredelse fra 1. august 2022. I 2022 kompenseres kommunene gjennom en økning i rammetilskuddet på 100 mill. kroner. </w:t>
      </w:r>
      <w:r>
        <w:lastRenderedPageBreak/>
        <w:t xml:space="preserve">Midlene fordeles etter delkostnadsnøkkelen for kommunehelse. Se nærmere omtale i Prop. 1 S (2021–2022) for Helse- og omsorgsdepartementet. </w:t>
      </w:r>
    </w:p>
    <w:p w14:paraId="56F305B6" w14:textId="0A8012E4" w:rsidR="00263503" w:rsidRDefault="00263503" w:rsidP="00AE712D">
      <w:pPr>
        <w:spacing w:after="0"/>
      </w:pPr>
    </w:p>
    <w:p w14:paraId="58F48582" w14:textId="77777777" w:rsidR="00263503" w:rsidRPr="00263503" w:rsidRDefault="00263503" w:rsidP="00AE712D">
      <w:pPr>
        <w:spacing w:after="0"/>
        <w:rPr>
          <w:b/>
          <w:bCs/>
        </w:rPr>
      </w:pPr>
      <w:r w:rsidRPr="00263503">
        <w:rPr>
          <w:b/>
          <w:bCs/>
        </w:rPr>
        <w:t xml:space="preserve">Ressurskrevende tjenester – finansiering av tilleggskompensasjon </w:t>
      </w:r>
    </w:p>
    <w:p w14:paraId="5E9C0930" w14:textId="77777777" w:rsidR="00263503" w:rsidRDefault="00263503" w:rsidP="00AE712D">
      <w:pPr>
        <w:spacing w:after="0"/>
      </w:pPr>
      <w:r>
        <w:t xml:space="preserve">Fra 2022 etableres det en ekstra kompensasjon, i tillegg til det ordinære toppfinansieringstilskuddet, til enkelte mindre kommuner som har spesielt høye utgifter til ressurskrevende tjenester. Tilskuddet er finansiert ved et trekk i innbyggertilskuddet til alle kommuner på i alt 55 mill. kroner. Se nærmere omtale under kap. 575 Ressurskrevende tjenester, post 61. </w:t>
      </w:r>
    </w:p>
    <w:p w14:paraId="1E4EB847" w14:textId="77777777" w:rsidR="00263503" w:rsidRDefault="00263503" w:rsidP="00AE712D">
      <w:pPr>
        <w:spacing w:after="0"/>
      </w:pPr>
    </w:p>
    <w:p w14:paraId="1B5039AC" w14:textId="77777777" w:rsidR="00263503" w:rsidRPr="00263503" w:rsidRDefault="00263503" w:rsidP="00AE712D">
      <w:pPr>
        <w:spacing w:after="0"/>
        <w:rPr>
          <w:b/>
          <w:bCs/>
        </w:rPr>
      </w:pPr>
      <w:r w:rsidRPr="00263503">
        <w:rPr>
          <w:b/>
          <w:bCs/>
        </w:rPr>
        <w:t xml:space="preserve">Forsøk med statlig finansiering av omsorgstjenesten </w:t>
      </w:r>
    </w:p>
    <w:p w14:paraId="6E61751D" w14:textId="4D003078" w:rsidR="00263503" w:rsidRDefault="00263503" w:rsidP="00AE712D">
      <w:pPr>
        <w:spacing w:after="0"/>
      </w:pPr>
      <w:r>
        <w:t>Som følge av at forsøket med statlig finansiering av omsorgstjenesten foreslås avviklet fra 2022, tilbakeføres 2 116,1 mill. kroner fra kap. 761, post 65 på Helse- og omsorgsdepartementets budsjett til kap. 571, post 60. Se nærmere omtale i Prop. 1 S (2021–2022) for Helse- og omsorgsdepartementet</w:t>
      </w:r>
    </w:p>
    <w:p w14:paraId="56E783CC" w14:textId="6FC1394C" w:rsidR="00263503" w:rsidRDefault="00263503" w:rsidP="00AE712D">
      <w:pPr>
        <w:spacing w:after="0"/>
        <w:rPr>
          <w:rFonts w:eastAsia="Calibri" w:cs="Open Sans"/>
          <w:color w:val="C90B1C" w:themeColor="accent6"/>
        </w:rPr>
      </w:pPr>
    </w:p>
    <w:p w14:paraId="6D08BF22" w14:textId="77777777" w:rsidR="00263503" w:rsidRPr="00263503" w:rsidRDefault="00263503" w:rsidP="00AE712D">
      <w:pPr>
        <w:spacing w:after="0"/>
        <w:rPr>
          <w:b/>
          <w:bCs/>
        </w:rPr>
      </w:pPr>
      <w:r w:rsidRPr="00263503">
        <w:rPr>
          <w:b/>
          <w:bCs/>
        </w:rPr>
        <w:t>Differensiert arbeidsgiveravgift</w:t>
      </w:r>
    </w:p>
    <w:p w14:paraId="62C01331" w14:textId="324846C8" w:rsidR="00263503" w:rsidRDefault="00263503" w:rsidP="00AE712D">
      <w:pPr>
        <w:spacing w:after="0"/>
      </w:pPr>
      <w:r>
        <w:t>Nytt virkeområde for differensiert arbeidsgiveravgift (DA) skal gjelde fra 1. januar 2022. Dette medfører endringer i soner for arbeidsgiveravgift for 11 kommuner, inkl. gamle kommuner som er del av nye kommuner. Provenyvirkning samlet sett for de aktuelle kommunene som arbeidsgivere er redusert avgift på 2,6 mill. kroner i 2022. For at avgiftsendringen skal være nøytral for kommunene samlet sett, reduseres rammetilskuddet med tilsvarende beløp. Den enkelte kommune som får endret avgiftssats i 2022, får full kompensasjon eller trekk i rammetilskuddet i 2022, basert på hvordan avgiftsendringen slår ut. Dette skjer gjennom en særskilt fordeling (tabell C) i innbyggertilskuddet. Nytt avgiftsnivå fases deretter inn ved at kompensasjon eller trekk trappes ned over seks år. Dette er i samsvar med ny periode for DA-ordningen.</w:t>
      </w:r>
    </w:p>
    <w:p w14:paraId="19D03BED" w14:textId="77777777" w:rsidR="00263503" w:rsidRPr="00692484" w:rsidRDefault="00263503" w:rsidP="00AE712D">
      <w:pPr>
        <w:spacing w:after="0"/>
        <w:rPr>
          <w:rFonts w:eastAsia="Calibri" w:cs="Open Sans"/>
          <w:color w:val="C90B1C" w:themeColor="accent6"/>
        </w:rPr>
      </w:pPr>
    </w:p>
    <w:p w14:paraId="004E7251" w14:textId="78AC00DA" w:rsidR="009B29D7" w:rsidRDefault="009B29D7" w:rsidP="009B29D7">
      <w:pPr>
        <w:pStyle w:val="Overskrift1"/>
        <w:numPr>
          <w:ilvl w:val="0"/>
          <w:numId w:val="2"/>
        </w:numPr>
      </w:pPr>
      <w:r>
        <w:t xml:space="preserve"> </w:t>
      </w:r>
      <w:bookmarkStart w:id="14" w:name="_Toc85029692"/>
      <w:r w:rsidR="00F63DAD">
        <w:t>Statsforvalteren</w:t>
      </w:r>
      <w:r>
        <w:t>s anbefalinger</w:t>
      </w:r>
      <w:bookmarkEnd w:id="14"/>
    </w:p>
    <w:p w14:paraId="111D41EE" w14:textId="77777777" w:rsidR="00364A84" w:rsidRDefault="00364A84" w:rsidP="00635640">
      <w:pPr>
        <w:spacing w:after="0"/>
      </w:pPr>
    </w:p>
    <w:p w14:paraId="34F4A368" w14:textId="527EEBAF" w:rsidR="00364A84" w:rsidRDefault="00364A84" w:rsidP="00635640">
      <w:pPr>
        <w:spacing w:after="0"/>
      </w:pPr>
      <w:r>
        <w:t>Kommunene må planlegge sin økonomi under betydelig usikkerhet, da de har begrenset påvirkning på sine rammebetingelser. Kommuneloven setter klare krav til en forsvarlig økonomiforvaltning</w:t>
      </w:r>
      <w:r w:rsidR="007639F6">
        <w:t>,</w:t>
      </w:r>
      <w:r>
        <w:t xml:space="preserve"> samtidig som behovet for tjenester kan synes større enn tilgangen på ressurser. </w:t>
      </w:r>
    </w:p>
    <w:p w14:paraId="79D119C4" w14:textId="77777777" w:rsidR="00364A84" w:rsidRDefault="00364A84" w:rsidP="00635640">
      <w:pPr>
        <w:spacing w:after="0"/>
      </w:pPr>
    </w:p>
    <w:p w14:paraId="75925628" w14:textId="2B351A03" w:rsidR="00364A84" w:rsidRDefault="00364A84" w:rsidP="00635640">
      <w:pPr>
        <w:spacing w:after="0"/>
      </w:pPr>
      <w:r>
        <w:t xml:space="preserve">Det at vi er i et valgår gjør at kommuneopplegget er klart noe senere enn </w:t>
      </w:r>
      <w:r w:rsidR="003833B3">
        <w:t xml:space="preserve">det </w:t>
      </w:r>
      <w:r>
        <w:t xml:space="preserve">vi er vant med de seneste årene. Vi ber kommunene om å ikke forskuttere noe før vedtaket er fattet. </w:t>
      </w:r>
    </w:p>
    <w:p w14:paraId="1F696F73" w14:textId="3B33679A" w:rsidR="00364A84" w:rsidRDefault="00364A84" w:rsidP="00635640">
      <w:pPr>
        <w:spacing w:after="0"/>
      </w:pPr>
    </w:p>
    <w:p w14:paraId="21B54721" w14:textId="3B487273" w:rsidR="008062A5" w:rsidRDefault="008062A5" w:rsidP="008062A5">
      <w:pPr>
        <w:spacing w:after="0"/>
        <w:rPr>
          <w:rFonts w:eastAsia="Calibri"/>
        </w:rPr>
      </w:pPr>
      <w:r>
        <w:rPr>
          <w:rFonts w:eastAsia="Calibri"/>
        </w:rPr>
        <w:lastRenderedPageBreak/>
        <w:t xml:space="preserve">Av erfaring anbefaler vi at kommunene i </w:t>
      </w:r>
      <w:r w:rsidRPr="00466088">
        <w:rPr>
          <w:rFonts w:eastAsia="Calibri"/>
        </w:rPr>
        <w:t>budsjett- og økonomiplanarbeidet</w:t>
      </w:r>
      <w:r>
        <w:rPr>
          <w:rFonts w:eastAsia="Calibri"/>
        </w:rPr>
        <w:t xml:space="preserve"> tar sikte på følgende</w:t>
      </w:r>
      <w:r w:rsidRPr="00466088">
        <w:rPr>
          <w:rFonts w:eastAsia="Calibri"/>
        </w:rPr>
        <w:t>:</w:t>
      </w:r>
    </w:p>
    <w:p w14:paraId="655B8A54" w14:textId="77777777" w:rsidR="00291912" w:rsidRPr="00466088" w:rsidRDefault="00291912" w:rsidP="008062A5">
      <w:pPr>
        <w:spacing w:after="0"/>
        <w:rPr>
          <w:rFonts w:eastAsia="Calibri"/>
        </w:rPr>
      </w:pPr>
    </w:p>
    <w:p w14:paraId="56FE7D4B" w14:textId="2DA8E4A3" w:rsidR="008062A5" w:rsidRPr="00291912" w:rsidRDefault="008062A5" w:rsidP="00291912">
      <w:pPr>
        <w:numPr>
          <w:ilvl w:val="0"/>
          <w:numId w:val="8"/>
        </w:numPr>
        <w:spacing w:after="0"/>
        <w:rPr>
          <w:rFonts w:eastAsia="Calibri"/>
          <w:b/>
        </w:rPr>
      </w:pPr>
      <w:r w:rsidRPr="00291912">
        <w:rPr>
          <w:rFonts w:eastAsia="Calibri"/>
        </w:rPr>
        <w:t xml:space="preserve">Netto driftsresultat i budsjett og økonomiplan </w:t>
      </w:r>
      <w:r w:rsidR="006F17D0">
        <w:rPr>
          <w:rFonts w:eastAsia="Calibri"/>
        </w:rPr>
        <w:t>kan med fordel</w:t>
      </w:r>
      <w:r w:rsidRPr="00291912">
        <w:rPr>
          <w:rFonts w:eastAsia="Calibri"/>
        </w:rPr>
        <w:t xml:space="preserve"> utgjøre 3 % </w:t>
      </w:r>
      <w:r w:rsidR="006F17D0">
        <w:rPr>
          <w:rFonts w:eastAsia="Calibri"/>
        </w:rPr>
        <w:t xml:space="preserve">eller mer </w:t>
      </w:r>
      <w:r w:rsidRPr="00291912">
        <w:rPr>
          <w:rFonts w:eastAsia="Calibri"/>
        </w:rPr>
        <w:t xml:space="preserve">av driftsinntektene avhengig av nødvendige avsetninger og investeringer. Buffere er en nødvendighet for å kunne </w:t>
      </w:r>
      <w:proofErr w:type="gramStart"/>
      <w:r w:rsidRPr="00291912">
        <w:rPr>
          <w:rFonts w:eastAsia="Calibri"/>
        </w:rPr>
        <w:t>takle</w:t>
      </w:r>
      <w:proofErr w:type="gramEnd"/>
      <w:r w:rsidRPr="00291912">
        <w:rPr>
          <w:rFonts w:eastAsia="Calibri"/>
        </w:rPr>
        <w:t xml:space="preserve"> svingninger på både inntekts- og utgiftssiden.</w:t>
      </w:r>
    </w:p>
    <w:p w14:paraId="5F2034D6" w14:textId="77777777" w:rsidR="00291912" w:rsidRPr="00291912" w:rsidRDefault="00291912" w:rsidP="00291912">
      <w:pPr>
        <w:spacing w:after="0"/>
        <w:ind w:left="720"/>
        <w:rPr>
          <w:rFonts w:eastAsia="Calibri"/>
          <w:b/>
        </w:rPr>
      </w:pPr>
    </w:p>
    <w:p w14:paraId="7D756E12" w14:textId="696D5273" w:rsidR="008062A5" w:rsidRDefault="008062A5" w:rsidP="00291912">
      <w:pPr>
        <w:numPr>
          <w:ilvl w:val="0"/>
          <w:numId w:val="8"/>
        </w:numPr>
        <w:spacing w:after="0"/>
        <w:rPr>
          <w:rFonts w:eastAsia="Calibri"/>
          <w:bCs/>
        </w:rPr>
      </w:pPr>
      <w:r w:rsidRPr="00291912">
        <w:rPr>
          <w:rFonts w:eastAsia="Calibri"/>
          <w:bCs/>
        </w:rPr>
        <w:t xml:space="preserve">Sammen med et godt driftsresultat bør kommunene også </w:t>
      </w:r>
      <w:proofErr w:type="gramStart"/>
      <w:r w:rsidRPr="00291912">
        <w:rPr>
          <w:rFonts w:eastAsia="Calibri"/>
          <w:bCs/>
        </w:rPr>
        <w:t>fokusere</w:t>
      </w:r>
      <w:proofErr w:type="gramEnd"/>
      <w:r w:rsidRPr="00291912">
        <w:rPr>
          <w:rFonts w:eastAsia="Calibri"/>
          <w:bCs/>
        </w:rPr>
        <w:t xml:space="preserve"> på sine disponible midler på fond. Fondsmidler er en viktig reserve, som gir mulighet til å møte svingninger i utgifter og inntekter på en kontrollert måte. </w:t>
      </w:r>
    </w:p>
    <w:p w14:paraId="18304F52" w14:textId="77777777" w:rsidR="00291912" w:rsidRDefault="00291912" w:rsidP="00291912">
      <w:pPr>
        <w:pStyle w:val="Listeavsnitt"/>
        <w:spacing w:after="0"/>
        <w:rPr>
          <w:rFonts w:eastAsia="Calibri"/>
          <w:bCs/>
        </w:rPr>
      </w:pPr>
    </w:p>
    <w:p w14:paraId="1D0C9410" w14:textId="77777777" w:rsidR="008062A5" w:rsidRPr="00291912" w:rsidRDefault="008062A5" w:rsidP="00291912">
      <w:pPr>
        <w:numPr>
          <w:ilvl w:val="0"/>
          <w:numId w:val="8"/>
        </w:numPr>
        <w:spacing w:after="0"/>
        <w:rPr>
          <w:rFonts w:eastAsia="Calibri"/>
        </w:rPr>
      </w:pPr>
      <w:r w:rsidRPr="00291912">
        <w:rPr>
          <w:rFonts w:eastAsia="Calibri"/>
        </w:rPr>
        <w:t>Egenfinansieringsgraden et viktig bidrag for å styrke kommunenes økonomiske stilling og vi ber derfor kommunene bestrebe seg på å ha den så høy som mulig.</w:t>
      </w:r>
    </w:p>
    <w:p w14:paraId="0698F678" w14:textId="77777777" w:rsidR="008062A5" w:rsidRPr="00291912" w:rsidRDefault="008062A5" w:rsidP="008062A5">
      <w:pPr>
        <w:spacing w:after="0"/>
        <w:rPr>
          <w:rFonts w:eastAsia="Calibri"/>
        </w:rPr>
      </w:pPr>
    </w:p>
    <w:p w14:paraId="3534061A" w14:textId="77777777" w:rsidR="008062A5" w:rsidRPr="00291912" w:rsidRDefault="008062A5" w:rsidP="008062A5">
      <w:pPr>
        <w:numPr>
          <w:ilvl w:val="0"/>
          <w:numId w:val="8"/>
        </w:numPr>
        <w:spacing w:after="0"/>
        <w:rPr>
          <w:rFonts w:eastAsia="Calibri"/>
        </w:rPr>
      </w:pPr>
      <w:r w:rsidRPr="00291912">
        <w:rPr>
          <w:rFonts w:eastAsia="Calibri"/>
        </w:rPr>
        <w:t xml:space="preserve">Langsiktig gjeld må holdes på et forsvarlig nivå. Kommunene må i økonomiplanen synliggjøre en forsvarlig betjening av etablert og planlagt lånegjeld. Vi anbefaler kommunene om å utarbeide oversikter som viser effektene av en renteoppgang på kort og mellomlang sikt. Dette for å skape bevissthet rundt mulige effekter av nivået på lånegjelden. </w:t>
      </w:r>
    </w:p>
    <w:p w14:paraId="27DAE93D" w14:textId="77777777" w:rsidR="008062A5" w:rsidRPr="00291912" w:rsidRDefault="008062A5" w:rsidP="008062A5">
      <w:pPr>
        <w:spacing w:after="0" w:line="240" w:lineRule="auto"/>
        <w:ind w:left="720"/>
        <w:rPr>
          <w:rFonts w:eastAsia="Calibri"/>
        </w:rPr>
      </w:pPr>
    </w:p>
    <w:p w14:paraId="1432A22E" w14:textId="0A89A296" w:rsidR="008062A5" w:rsidRPr="00291912" w:rsidRDefault="008062A5" w:rsidP="008062A5">
      <w:pPr>
        <w:numPr>
          <w:ilvl w:val="0"/>
          <w:numId w:val="8"/>
        </w:numPr>
        <w:spacing w:after="0"/>
        <w:rPr>
          <w:rFonts w:eastAsia="Calibri"/>
        </w:rPr>
      </w:pPr>
      <w:r w:rsidRPr="00291912">
        <w:rPr>
          <w:rFonts w:eastAsia="Calibri"/>
        </w:rPr>
        <w:t xml:space="preserve">Vi oppfordrer kommunene til å ha et bevisst forhold og en mest mulig omforent holdning til hva som må, bør og kan gjøres. Dette gjelder særlig på investeringssiden, hvor vi anbefaler kommunene å utarbeide oversikter med en lengre tidshorisont enn det som kreves i økonomiplanen, for tidlig å kunne fange opp må-investeringer og konsekvensene av disse. Det fordrer også gode planleggingsverktøy, gode befolkningsprognoser og aktiv bruk av disse. </w:t>
      </w:r>
    </w:p>
    <w:p w14:paraId="700F69BD" w14:textId="77777777" w:rsidR="00922A33" w:rsidRPr="00291912" w:rsidRDefault="00922A33" w:rsidP="00291912">
      <w:pPr>
        <w:pStyle w:val="Listeavsnitt"/>
        <w:spacing w:after="0"/>
        <w:rPr>
          <w:rFonts w:eastAsia="Calibri"/>
        </w:rPr>
      </w:pPr>
    </w:p>
    <w:p w14:paraId="5D2F063E" w14:textId="6EB5BC26" w:rsidR="00922A33" w:rsidRDefault="00922A33" w:rsidP="00291912">
      <w:pPr>
        <w:numPr>
          <w:ilvl w:val="0"/>
          <w:numId w:val="8"/>
        </w:numPr>
        <w:rPr>
          <w:rFonts w:eastAsia="Calibri"/>
        </w:rPr>
      </w:pPr>
      <w:r w:rsidRPr="00291912">
        <w:rPr>
          <w:rFonts w:eastAsia="Calibri"/>
        </w:rPr>
        <w:t xml:space="preserve">Måltallene er </w:t>
      </w:r>
      <w:r w:rsidR="00BD4CF8">
        <w:rPr>
          <w:rFonts w:eastAsia="Calibri"/>
        </w:rPr>
        <w:t xml:space="preserve">et </w:t>
      </w:r>
      <w:r w:rsidRPr="00291912">
        <w:rPr>
          <w:rFonts w:eastAsia="Calibri"/>
        </w:rPr>
        <w:t xml:space="preserve">viktig styringsverktøy for kommunene og skal gjenspeile hva som skal til for å oppnå en forsvarlig langsiktig økonomisk utvikling. Det er ikke fasit på hvilke måltall kommunene bør velge og nivået på dem, det viktigste er at de </w:t>
      </w:r>
      <w:r w:rsidR="006F17D0">
        <w:rPr>
          <w:rFonts w:eastAsia="Calibri"/>
        </w:rPr>
        <w:t xml:space="preserve">er </w:t>
      </w:r>
      <w:r w:rsidRPr="00291912">
        <w:rPr>
          <w:rFonts w:eastAsia="Calibri"/>
        </w:rPr>
        <w:t>godt forankret i kommunen</w:t>
      </w:r>
      <w:r w:rsidR="006F17D0">
        <w:rPr>
          <w:rFonts w:eastAsia="Calibri"/>
        </w:rPr>
        <w:t xml:space="preserve"> og at de styres etter</w:t>
      </w:r>
      <w:r w:rsidRPr="00291912">
        <w:rPr>
          <w:rFonts w:eastAsia="Calibri"/>
        </w:rPr>
        <w:t xml:space="preserve">. Disse bør ikke endres for ofte, da det langsiktige perspektivet </w:t>
      </w:r>
      <w:r w:rsidR="00BD4CF8">
        <w:rPr>
          <w:rFonts w:eastAsia="Calibri"/>
        </w:rPr>
        <w:t xml:space="preserve">i økonomien </w:t>
      </w:r>
      <w:r w:rsidRPr="00291912">
        <w:rPr>
          <w:rFonts w:eastAsia="Calibri"/>
        </w:rPr>
        <w:t>er viktig</w:t>
      </w:r>
      <w:r w:rsidR="00BD4CF8">
        <w:rPr>
          <w:rFonts w:eastAsia="Calibri"/>
        </w:rPr>
        <w:t xml:space="preserve"> å ivareta</w:t>
      </w:r>
      <w:r w:rsidRPr="00291912">
        <w:rPr>
          <w:rFonts w:eastAsia="Calibri"/>
        </w:rPr>
        <w:t>.</w:t>
      </w:r>
      <w:r>
        <w:rPr>
          <w:rFonts w:eastAsia="Calibri"/>
        </w:rPr>
        <w:t xml:space="preserve"> </w:t>
      </w:r>
    </w:p>
    <w:p w14:paraId="0F0EDA89" w14:textId="77777777" w:rsidR="0076289F" w:rsidRDefault="0076289F" w:rsidP="0076289F">
      <w:pPr>
        <w:pStyle w:val="Listeavsnitt"/>
        <w:rPr>
          <w:rFonts w:eastAsia="Calibri"/>
        </w:rPr>
      </w:pPr>
    </w:p>
    <w:p w14:paraId="7F4B3F82" w14:textId="4E14393C" w:rsidR="00160DEC" w:rsidRDefault="009B29D7" w:rsidP="00160DEC">
      <w:pPr>
        <w:pStyle w:val="Overskrift1"/>
        <w:numPr>
          <w:ilvl w:val="0"/>
          <w:numId w:val="2"/>
        </w:numPr>
      </w:pPr>
      <w:bookmarkStart w:id="15" w:name="_Toc85029693"/>
      <w:r>
        <w:t>Vedlegg</w:t>
      </w:r>
      <w:bookmarkEnd w:id="15"/>
    </w:p>
    <w:p w14:paraId="49840B1E" w14:textId="69AB5DA8" w:rsidR="00160DEC" w:rsidRDefault="00160DEC" w:rsidP="00160DEC"/>
    <w:bookmarkEnd w:id="0"/>
    <w:p w14:paraId="068FD588" w14:textId="6781F788" w:rsidR="00FF25B9" w:rsidRPr="00BE376D" w:rsidRDefault="00160DEC" w:rsidP="00160DEC">
      <w:r w:rsidRPr="00160DEC">
        <w:rPr>
          <w:noProof/>
        </w:rPr>
        <w:lastRenderedPageBreak/>
        <w:drawing>
          <wp:inline distT="0" distB="0" distL="0" distR="0" wp14:anchorId="53588607" wp14:editId="3E5D46E6">
            <wp:extent cx="5537200" cy="8892540"/>
            <wp:effectExtent l="0" t="0" r="6350" b="381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7200" cy="8892540"/>
                    </a:xfrm>
                    <a:prstGeom prst="rect">
                      <a:avLst/>
                    </a:prstGeom>
                    <a:noFill/>
                    <a:ln>
                      <a:noFill/>
                    </a:ln>
                  </pic:spPr>
                </pic:pic>
              </a:graphicData>
            </a:graphic>
          </wp:inline>
        </w:drawing>
      </w:r>
    </w:p>
    <w:p w14:paraId="56FF811F" w14:textId="71A524CE" w:rsidR="00FF25B9" w:rsidRPr="00BE376D" w:rsidRDefault="00160DEC" w:rsidP="00FF25B9">
      <w:pPr>
        <w:pStyle w:val="Undertittel"/>
        <w:rPr>
          <w:b/>
          <w:bCs/>
          <w:sz w:val="40"/>
          <w:szCs w:val="40"/>
        </w:rPr>
      </w:pPr>
      <w:r w:rsidRPr="00160DEC">
        <w:rPr>
          <w:noProof/>
        </w:rPr>
        <w:lastRenderedPageBreak/>
        <w:drawing>
          <wp:inline distT="0" distB="0" distL="0" distR="0" wp14:anchorId="5C2D8CEC" wp14:editId="5B1FE51B">
            <wp:extent cx="2966720" cy="8892540"/>
            <wp:effectExtent l="0" t="0" r="5080" b="381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6720" cy="8892540"/>
                    </a:xfrm>
                    <a:prstGeom prst="rect">
                      <a:avLst/>
                    </a:prstGeom>
                    <a:noFill/>
                    <a:ln>
                      <a:noFill/>
                    </a:ln>
                  </pic:spPr>
                </pic:pic>
              </a:graphicData>
            </a:graphic>
          </wp:inline>
        </w:drawing>
      </w:r>
    </w:p>
    <w:p w14:paraId="0BB2FAD1" w14:textId="733C20E2" w:rsidR="00FF25B9" w:rsidRPr="00FF25B9" w:rsidRDefault="00882C4E" w:rsidP="00FF25B9">
      <w:r w:rsidRPr="00882C4E">
        <w:rPr>
          <w:noProof/>
        </w:rPr>
        <w:lastRenderedPageBreak/>
        <w:drawing>
          <wp:inline distT="0" distB="0" distL="0" distR="0" wp14:anchorId="4710F5F0" wp14:editId="408CC3B0">
            <wp:extent cx="5386070" cy="8892540"/>
            <wp:effectExtent l="0" t="0" r="5080" b="381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6070" cy="8892540"/>
                    </a:xfrm>
                    <a:prstGeom prst="rect">
                      <a:avLst/>
                    </a:prstGeom>
                    <a:noFill/>
                    <a:ln>
                      <a:noFill/>
                    </a:ln>
                  </pic:spPr>
                </pic:pic>
              </a:graphicData>
            </a:graphic>
          </wp:inline>
        </w:drawing>
      </w:r>
    </w:p>
    <w:p w14:paraId="5D2F4239" w14:textId="77777777" w:rsidR="00FF25B9" w:rsidRPr="00BE376D" w:rsidRDefault="00FF25B9" w:rsidP="00FF25B9">
      <w:pPr>
        <w:pStyle w:val="Undertittel"/>
        <w:sectPr w:rsidR="00FF25B9" w:rsidRPr="00BE376D" w:rsidSect="00FF25B9">
          <w:footerReference w:type="default" r:id="rId15"/>
          <w:headerReference w:type="first" r:id="rId16"/>
          <w:pgSz w:w="11906" w:h="16838"/>
          <w:pgMar w:top="1417" w:right="1417" w:bottom="1417" w:left="1417" w:header="709" w:footer="709" w:gutter="0"/>
          <w:cols w:space="708"/>
          <w:titlePg/>
          <w:docGrid w:linePitch="360"/>
        </w:sectPr>
      </w:pPr>
    </w:p>
    <w:p w14:paraId="790C7206" w14:textId="77777777" w:rsidR="005C1731" w:rsidRPr="00BE376D" w:rsidRDefault="005C1731" w:rsidP="005A1870">
      <w:pPr>
        <w:rPr>
          <w:rFonts w:ascii="Arial" w:hAnsi="Arial" w:cs="Arial"/>
        </w:rPr>
      </w:pPr>
    </w:p>
    <w:p w14:paraId="6D7F50E7" w14:textId="77777777" w:rsidR="005813EA" w:rsidRPr="00BE376D" w:rsidRDefault="005813EA">
      <w:pPr>
        <w:rPr>
          <w:rFonts w:ascii="Arial" w:hAnsi="Arial" w:cs="Arial"/>
        </w:rPr>
      </w:pPr>
    </w:p>
    <w:sectPr w:rsidR="005813EA" w:rsidRPr="00BE376D" w:rsidSect="00B2409F">
      <w:headerReference w:type="first" r:id="rId17"/>
      <w:pgSz w:w="11906" w:h="16838"/>
      <w:pgMar w:top="1021" w:right="1077" w:bottom="1418"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A2015" w14:textId="77777777" w:rsidR="00D86703" w:rsidRDefault="00D86703" w:rsidP="007A55E0">
      <w:pPr>
        <w:spacing w:after="0" w:line="240" w:lineRule="auto"/>
      </w:pPr>
      <w:r>
        <w:separator/>
      </w:r>
    </w:p>
  </w:endnote>
  <w:endnote w:type="continuationSeparator" w:id="0">
    <w:p w14:paraId="42BF64A5" w14:textId="77777777" w:rsidR="00D86703" w:rsidRDefault="00D86703" w:rsidP="007A5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SemiBold">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OpenSans-Regular">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762299"/>
      <w:docPartObj>
        <w:docPartGallery w:val="Page Numbers (Bottom of Page)"/>
        <w:docPartUnique/>
      </w:docPartObj>
    </w:sdtPr>
    <w:sdtEndPr/>
    <w:sdtContent>
      <w:p w14:paraId="59D436D2" w14:textId="77777777" w:rsidR="00D86703" w:rsidRDefault="00D86703" w:rsidP="00C937B6">
        <w:pPr>
          <w:pStyle w:val="Bunntekst"/>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33A8DF" w14:textId="77777777" w:rsidR="00D86703" w:rsidRDefault="00D86703" w:rsidP="007A55E0">
      <w:pPr>
        <w:spacing w:after="0" w:line="240" w:lineRule="auto"/>
      </w:pPr>
      <w:r>
        <w:separator/>
      </w:r>
    </w:p>
  </w:footnote>
  <w:footnote w:type="continuationSeparator" w:id="0">
    <w:p w14:paraId="4F214A96" w14:textId="77777777" w:rsidR="00D86703" w:rsidRDefault="00D86703" w:rsidP="007A5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CDDFE" w14:textId="77777777" w:rsidR="00D86703" w:rsidRDefault="00D86703">
    <w:pPr>
      <w:pStyle w:val="Topptekst"/>
    </w:pPr>
    <w:r>
      <w:rPr>
        <w:bCs/>
        <w:noProof/>
        <w:sz w:val="18"/>
        <w:szCs w:val="18"/>
      </w:rPr>
      <w:drawing>
        <wp:anchor distT="0" distB="0" distL="114300" distR="114300" simplePos="0" relativeHeight="251663360" behindDoc="0" locked="0" layoutInCell="1" allowOverlap="1" wp14:anchorId="2EBCCB92" wp14:editId="1BDA6234">
          <wp:simplePos x="0" y="0"/>
          <wp:positionH relativeFrom="page">
            <wp:posOffset>15875</wp:posOffset>
          </wp:positionH>
          <wp:positionV relativeFrom="paragraph">
            <wp:posOffset>-427355</wp:posOffset>
          </wp:positionV>
          <wp:extent cx="4540885" cy="1376045"/>
          <wp:effectExtent l="0" t="0" r="0"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M_primaerlogo_oslo_viken_pos.png"/>
                  <pic:cNvPicPr/>
                </pic:nvPicPr>
                <pic:blipFill>
                  <a:blip r:embed="rId1">
                    <a:extLst>
                      <a:ext uri="{28A0092B-C50C-407E-A947-70E740481C1C}">
                        <a14:useLocalDpi xmlns:a14="http://schemas.microsoft.com/office/drawing/2010/main" val="0"/>
                      </a:ext>
                    </a:extLst>
                  </a:blip>
                  <a:stretch>
                    <a:fillRect/>
                  </a:stretch>
                </pic:blipFill>
                <pic:spPr>
                  <a:xfrm>
                    <a:off x="0" y="0"/>
                    <a:ext cx="4540885" cy="13760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3F62747" wp14:editId="354DA616">
          <wp:simplePos x="0" y="0"/>
          <wp:positionH relativeFrom="page">
            <wp:posOffset>0</wp:posOffset>
          </wp:positionH>
          <wp:positionV relativeFrom="paragraph">
            <wp:posOffset>3752134</wp:posOffset>
          </wp:positionV>
          <wp:extent cx="7558965" cy="6479984"/>
          <wp:effectExtent l="0" t="0" r="4445" b="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side rapport element blå 2 F.jpg"/>
                  <pic:cNvPicPr/>
                </pic:nvPicPr>
                <pic:blipFill>
                  <a:blip r:embed="rId2">
                    <a:extLst>
                      <a:ext uri="{28A0092B-C50C-407E-A947-70E740481C1C}">
                        <a14:useLocalDpi xmlns:a14="http://schemas.microsoft.com/office/drawing/2010/main" val="0"/>
                      </a:ext>
                    </a:extLst>
                  </a:blip>
                  <a:stretch>
                    <a:fillRect/>
                  </a:stretch>
                </pic:blipFill>
                <pic:spPr>
                  <a:xfrm>
                    <a:off x="0" y="0"/>
                    <a:ext cx="7558965" cy="647998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7B865" w14:textId="77777777" w:rsidR="00D86703" w:rsidRDefault="00D86703">
    <w:pPr>
      <w:pStyle w:val="Topptekst"/>
    </w:pPr>
    <w:r w:rsidRPr="00850FEB">
      <w:rPr>
        <w:noProof/>
      </w:rPr>
      <mc:AlternateContent>
        <mc:Choice Requires="wps">
          <w:drawing>
            <wp:anchor distT="0" distB="0" distL="114300" distR="114300" simplePos="0" relativeHeight="251665408" behindDoc="0" locked="0" layoutInCell="1" allowOverlap="1" wp14:anchorId="7EE964EB" wp14:editId="5AD17DC9">
              <wp:simplePos x="0" y="0"/>
              <wp:positionH relativeFrom="margin">
                <wp:posOffset>220980</wp:posOffset>
              </wp:positionH>
              <wp:positionV relativeFrom="page">
                <wp:posOffset>3566160</wp:posOffset>
              </wp:positionV>
              <wp:extent cx="6574790" cy="509270"/>
              <wp:effectExtent l="0" t="0" r="16510" b="508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509270"/>
                      </a:xfrm>
                      <a:prstGeom prst="rect">
                        <a:avLst/>
                      </a:prstGeom>
                      <a:noFill/>
                      <a:ln>
                        <a:noFill/>
                      </a:ln>
                    </wps:spPr>
                    <wps:txbx>
                      <w:txbxContent>
                        <w:p w14:paraId="4EE5920D" w14:textId="77777777" w:rsidR="00D86703" w:rsidRPr="001456E4" w:rsidRDefault="00D86703" w:rsidP="00CB1B3C">
                          <w:pPr>
                            <w:pStyle w:val="Forside2"/>
                            <w:rPr>
                              <w:rFonts w:ascii="Open Sans SemiBold" w:hAnsi="Open Sans SemiBold" w:cs="Open Sans SemiBold"/>
                              <w:color w:val="000000" w:themeColor="text1"/>
                              <w:sz w:val="22"/>
                              <w:szCs w:val="22"/>
                              <w:lang w:val="nn-NO"/>
                            </w:rPr>
                          </w:pPr>
                          <w:r>
                            <w:rPr>
                              <w:rFonts w:ascii="Open Sans SemiBold" w:hAnsi="Open Sans SemiBold" w:cs="Open Sans SemiBold"/>
                              <w:color w:val="000000" w:themeColor="text1"/>
                              <w:sz w:val="22"/>
                              <w:szCs w:val="22"/>
                              <w:lang w:val="nn-NO"/>
                            </w:rPr>
                            <w:t>STATSFORVALTEREN</w:t>
                          </w:r>
                          <w:r w:rsidRPr="001456E4">
                            <w:rPr>
                              <w:rFonts w:ascii="Open Sans SemiBold" w:hAnsi="Open Sans SemiBold" w:cs="Open Sans SemiBold"/>
                              <w:color w:val="000000" w:themeColor="text1"/>
                              <w:sz w:val="22"/>
                              <w:szCs w:val="22"/>
                              <w:lang w:val="nn-NO"/>
                            </w:rPr>
                            <w:t xml:space="preserve"> I OSLO OG VIKEN</w:t>
                          </w:r>
                        </w:p>
                        <w:p w14:paraId="5820EB04" w14:textId="77777777" w:rsidR="00D86703" w:rsidRPr="00483AE2" w:rsidRDefault="00D86703" w:rsidP="00CB1B3C">
                          <w:pPr>
                            <w:pStyle w:val="Forside2"/>
                            <w:rPr>
                              <w:color w:val="000000" w:themeColor="text1"/>
                              <w:sz w:val="22"/>
                              <w:szCs w:val="22"/>
                              <w:lang w:val="nn-NO"/>
                            </w:rPr>
                          </w:pPr>
                          <w:r w:rsidRPr="00483AE2">
                            <w:rPr>
                              <w:color w:val="000000" w:themeColor="text1"/>
                              <w:sz w:val="22"/>
                              <w:szCs w:val="22"/>
                              <w:lang w:val="nn-NO"/>
                            </w:rPr>
                            <w:t xml:space="preserve">Postboks 325, 1502 Moss  I  </w:t>
                          </w:r>
                          <w:hyperlink r:id="rId1" w:history="1">
                            <w:r w:rsidRPr="00CB1B3C">
                              <w:rPr>
                                <w:rStyle w:val="Hyperkobling"/>
                                <w:color w:val="auto"/>
                                <w:sz w:val="22"/>
                                <w:szCs w:val="22"/>
                                <w:u w:val="none"/>
                              </w:rPr>
                              <w:t>sf</w:t>
                            </w:r>
                            <w:r w:rsidRPr="00CB1B3C">
                              <w:rPr>
                                <w:rStyle w:val="Hyperkobling"/>
                                <w:color w:val="auto"/>
                                <w:sz w:val="22"/>
                                <w:szCs w:val="22"/>
                                <w:u w:val="none"/>
                                <w:lang w:val="nn-NO"/>
                              </w:rPr>
                              <w:t>ovpost@statsforvalteren.no</w:t>
                            </w:r>
                          </w:hyperlink>
                          <w:r w:rsidRPr="00483AE2">
                            <w:rPr>
                              <w:color w:val="000000" w:themeColor="text1"/>
                              <w:sz w:val="22"/>
                              <w:szCs w:val="22"/>
                              <w:lang w:val="nn-NO"/>
                            </w:rPr>
                            <w:t xml:space="preserve">  I  www.</w:t>
                          </w:r>
                          <w:r>
                            <w:rPr>
                              <w:color w:val="000000" w:themeColor="text1"/>
                              <w:sz w:val="22"/>
                              <w:szCs w:val="22"/>
                              <w:lang w:val="nn-NO"/>
                            </w:rPr>
                            <w:t>statsforvalteren</w:t>
                          </w:r>
                          <w:r w:rsidRPr="00483AE2">
                            <w:rPr>
                              <w:color w:val="000000" w:themeColor="text1"/>
                              <w:sz w:val="22"/>
                              <w:szCs w:val="22"/>
                              <w:lang w:val="nn-NO"/>
                            </w:rPr>
                            <w:t>.no/ov</w:t>
                          </w:r>
                        </w:p>
                        <w:p w14:paraId="01E4E0AF" w14:textId="77777777" w:rsidR="00D86703" w:rsidRPr="00E93F37" w:rsidRDefault="00D86703" w:rsidP="00CB1B3C">
                          <w:pPr>
                            <w:widowControl w:val="0"/>
                            <w:autoSpaceDE w:val="0"/>
                            <w:autoSpaceDN w:val="0"/>
                            <w:adjustRightInd w:val="0"/>
                            <w:spacing w:after="0" w:line="240" w:lineRule="auto"/>
                            <w:ind w:right="-1021"/>
                            <w:jc w:val="both"/>
                            <w:rPr>
                              <w:rFonts w:cs="Open Sans"/>
                              <w:sz w:val="52"/>
                              <w:szCs w:val="52"/>
                              <w:lang w:val="nn-NO"/>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E964EB" id="_x0000_t202" coordsize="21600,21600" o:spt="202" path="m,l,21600r21600,l21600,xe">
              <v:stroke joinstyle="miter"/>
              <v:path gradientshapeok="t" o:connecttype="rect"/>
            </v:shapetype>
            <v:shape id="Text Box 8" o:spid="_x0000_s1026" type="#_x0000_t202" style="position:absolute;margin-left:17.4pt;margin-top:280.8pt;width:517.7pt;height:40.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F6AEAALYDAAAOAAAAZHJzL2Uyb0RvYy54bWysU9tu2zAMfR+wfxD0vjgJ1qY14hRdiw4D&#10;ugvQ7gNoWbaF2aJGKbGzrx8lx1m3vQ17EWiSOjrnkN7ejH0nDpq8QVvI1WIphbYKK2ObQn59fnhz&#10;JYUPYCvo0OpCHrWXN7vXr7aDy/UaW+wqTYJBrM8HV8g2BJdnmVet7sEv0GnLxRqph8Cf1GQVwcDo&#10;fZetl8vLbECqHKHS3nP2firKXcKva63C57r2OoiukMwtpJPSWcYz220hbwhca9SJBvwDix6M5UfP&#10;UPcQQOzJ/AXVG0XosQ4LhX2GdW2UThpYzWr5h5qnFpxOWtgc7842+f8Hqz4dvpAwFc9OCgs9j+hZ&#10;j0G8w1FcRXcG53NuenLcFkZOx86o1LtHVN+8sHjXgm30LREOrYaK2a3izezF1QnHR5By+IgVPwP7&#10;gAlorKmPgGyGYHSe0vE8mUhFcfLyYvN2c80lxbWL5fV6k0aXQT7fduTDe429iEEhiSef0OHw6ENk&#10;A/ncEh+z+GC6Lk2/s78luDFmEvtIeKIexnI8uVFidWQdhNMy8fJz0CL9kGLgRSqk/74H0lJ0Hyx7&#10;EbduDmgOyjkAq/hqIYMUU3gXpu3cOzJNy8iT2xZv2a/aJCnR2InFiScvR1J4WuS4fS+/U9ev3233&#10;EwAA//8DAFBLAwQUAAYACAAAACEAMv8N2eAAAAALAQAADwAAAGRycy9kb3ducmV2LnhtbEyPMU/D&#10;MBSEdyT+g/WQ2KidUkKbxqkqBBMSahoGRid+TazGzyF22/DvcScYT3e6+y7fTLZnZxy9cSQhmQlg&#10;SI3ThloJn9XbwxKYD4q06h2hhB/0sClub3KVaXehEs/70LJYQj5TEroQhoxz33RolZ+5ASl6Bzda&#10;FaIcW65HdYnltudzIVJulaG40KkBXzpsjvuTlbD9ovLVfH/Uu/JQmqpaCXpPj1Le303bNbCAU/gL&#10;wxU/okMRmWp3Iu1ZL+FxEcmDhKc0SYFdA+JZzIHVEtJFsgRe5Pz/h+IXAAD//wMAUEsBAi0AFAAG&#10;AAgAAAAhALaDOJL+AAAA4QEAABMAAAAAAAAAAAAAAAAAAAAAAFtDb250ZW50X1R5cGVzXS54bWxQ&#10;SwECLQAUAAYACAAAACEAOP0h/9YAAACUAQAACwAAAAAAAAAAAAAAAAAvAQAAX3JlbHMvLnJlbHNQ&#10;SwECLQAUAAYACAAAACEAGztPxegBAAC2AwAADgAAAAAAAAAAAAAAAAAuAgAAZHJzL2Uyb0RvYy54&#10;bWxQSwECLQAUAAYACAAAACEAMv8N2eAAAAALAQAADwAAAAAAAAAAAAAAAABCBAAAZHJzL2Rvd25y&#10;ZXYueG1sUEsFBgAAAAAEAAQA8wAAAE8FAAAAAA==&#10;" filled="f" stroked="f">
              <v:textbox inset="0,0,0,0">
                <w:txbxContent>
                  <w:p w14:paraId="4EE5920D" w14:textId="77777777" w:rsidR="00D86703" w:rsidRPr="001456E4" w:rsidRDefault="00D86703" w:rsidP="00CB1B3C">
                    <w:pPr>
                      <w:pStyle w:val="Forside2"/>
                      <w:rPr>
                        <w:rFonts w:ascii="Open Sans SemiBold" w:hAnsi="Open Sans SemiBold" w:cs="Open Sans SemiBold"/>
                        <w:color w:val="000000" w:themeColor="text1"/>
                        <w:sz w:val="22"/>
                        <w:szCs w:val="22"/>
                        <w:lang w:val="nn-NO"/>
                      </w:rPr>
                    </w:pPr>
                    <w:r>
                      <w:rPr>
                        <w:rFonts w:ascii="Open Sans SemiBold" w:hAnsi="Open Sans SemiBold" w:cs="Open Sans SemiBold"/>
                        <w:color w:val="000000" w:themeColor="text1"/>
                        <w:sz w:val="22"/>
                        <w:szCs w:val="22"/>
                        <w:lang w:val="nn-NO"/>
                      </w:rPr>
                      <w:t>STATSFORVALTEREN</w:t>
                    </w:r>
                    <w:r w:rsidRPr="001456E4">
                      <w:rPr>
                        <w:rFonts w:ascii="Open Sans SemiBold" w:hAnsi="Open Sans SemiBold" w:cs="Open Sans SemiBold"/>
                        <w:color w:val="000000" w:themeColor="text1"/>
                        <w:sz w:val="22"/>
                        <w:szCs w:val="22"/>
                        <w:lang w:val="nn-NO"/>
                      </w:rPr>
                      <w:t xml:space="preserve"> I OSLO OG VIKEN</w:t>
                    </w:r>
                  </w:p>
                  <w:p w14:paraId="5820EB04" w14:textId="77777777" w:rsidR="00D86703" w:rsidRPr="00483AE2" w:rsidRDefault="00D86703" w:rsidP="00CB1B3C">
                    <w:pPr>
                      <w:pStyle w:val="Forside2"/>
                      <w:rPr>
                        <w:color w:val="000000" w:themeColor="text1"/>
                        <w:sz w:val="22"/>
                        <w:szCs w:val="22"/>
                        <w:lang w:val="nn-NO"/>
                      </w:rPr>
                    </w:pPr>
                    <w:r w:rsidRPr="00483AE2">
                      <w:rPr>
                        <w:color w:val="000000" w:themeColor="text1"/>
                        <w:sz w:val="22"/>
                        <w:szCs w:val="22"/>
                        <w:lang w:val="nn-NO"/>
                      </w:rPr>
                      <w:t xml:space="preserve">Postboks 325, 1502 Moss  I  </w:t>
                    </w:r>
                    <w:hyperlink r:id="rId2" w:history="1">
                      <w:r w:rsidRPr="00CB1B3C">
                        <w:rPr>
                          <w:rStyle w:val="Hyperkobling"/>
                          <w:color w:val="auto"/>
                          <w:sz w:val="22"/>
                          <w:szCs w:val="22"/>
                          <w:u w:val="none"/>
                        </w:rPr>
                        <w:t>sf</w:t>
                      </w:r>
                      <w:r w:rsidRPr="00CB1B3C">
                        <w:rPr>
                          <w:rStyle w:val="Hyperkobling"/>
                          <w:color w:val="auto"/>
                          <w:sz w:val="22"/>
                          <w:szCs w:val="22"/>
                          <w:u w:val="none"/>
                          <w:lang w:val="nn-NO"/>
                        </w:rPr>
                        <w:t>ovpost@statsforvalteren.no</w:t>
                      </w:r>
                    </w:hyperlink>
                    <w:r w:rsidRPr="00483AE2">
                      <w:rPr>
                        <w:color w:val="000000" w:themeColor="text1"/>
                        <w:sz w:val="22"/>
                        <w:szCs w:val="22"/>
                        <w:lang w:val="nn-NO"/>
                      </w:rPr>
                      <w:t xml:space="preserve">  I  www.</w:t>
                    </w:r>
                    <w:r>
                      <w:rPr>
                        <w:color w:val="000000" w:themeColor="text1"/>
                        <w:sz w:val="22"/>
                        <w:szCs w:val="22"/>
                        <w:lang w:val="nn-NO"/>
                      </w:rPr>
                      <w:t>statsforvalteren</w:t>
                    </w:r>
                    <w:r w:rsidRPr="00483AE2">
                      <w:rPr>
                        <w:color w:val="000000" w:themeColor="text1"/>
                        <w:sz w:val="22"/>
                        <w:szCs w:val="22"/>
                        <w:lang w:val="nn-NO"/>
                      </w:rPr>
                      <w:t>.no/ov</w:t>
                    </w:r>
                  </w:p>
                  <w:p w14:paraId="01E4E0AF" w14:textId="77777777" w:rsidR="00D86703" w:rsidRPr="00E93F37" w:rsidRDefault="00D86703" w:rsidP="00CB1B3C">
                    <w:pPr>
                      <w:widowControl w:val="0"/>
                      <w:autoSpaceDE w:val="0"/>
                      <w:autoSpaceDN w:val="0"/>
                      <w:adjustRightInd w:val="0"/>
                      <w:spacing w:after="0" w:line="240" w:lineRule="auto"/>
                      <w:ind w:right="-1021"/>
                      <w:jc w:val="both"/>
                      <w:rPr>
                        <w:rFonts w:cs="Open Sans"/>
                        <w:sz w:val="52"/>
                        <w:szCs w:val="52"/>
                        <w:lang w:val="nn-NO"/>
                      </w:rPr>
                    </w:pPr>
                  </w:p>
                </w:txbxContent>
              </v:textbox>
              <w10:wrap anchorx="margin" anchory="page"/>
            </v:shape>
          </w:pict>
        </mc:Fallback>
      </mc:AlternateContent>
    </w:r>
    <w:r>
      <w:rPr>
        <w:rFonts w:ascii="Arial" w:hAnsi="Arial" w:cs="Arial"/>
        <w:noProof/>
      </w:rPr>
      <w:drawing>
        <wp:anchor distT="0" distB="0" distL="114300" distR="114300" simplePos="0" relativeHeight="251661312" behindDoc="0" locked="0" layoutInCell="1" allowOverlap="1" wp14:anchorId="31D36FF2" wp14:editId="177A6E49">
          <wp:simplePos x="0" y="0"/>
          <wp:positionH relativeFrom="page">
            <wp:posOffset>0</wp:posOffset>
          </wp:positionH>
          <wp:positionV relativeFrom="paragraph">
            <wp:posOffset>3752134</wp:posOffset>
          </wp:positionV>
          <wp:extent cx="7558982" cy="6479998"/>
          <wp:effectExtent l="0" t="0" r="4445"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side rapport element blå 2 B.jpg"/>
                  <pic:cNvPicPr/>
                </pic:nvPicPr>
                <pic:blipFill>
                  <a:blip r:embed="rId3">
                    <a:extLst>
                      <a:ext uri="{28A0092B-C50C-407E-A947-70E740481C1C}">
                        <a14:useLocalDpi xmlns:a14="http://schemas.microsoft.com/office/drawing/2010/main" val="0"/>
                      </a:ext>
                    </a:extLst>
                  </a:blip>
                  <a:stretch>
                    <a:fillRect/>
                  </a:stretch>
                </pic:blipFill>
                <pic:spPr>
                  <a:xfrm>
                    <a:off x="0" y="0"/>
                    <a:ext cx="7558982" cy="64799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11240"/>
    <w:multiLevelType w:val="hybridMultilevel"/>
    <w:tmpl w:val="46B2866E"/>
    <w:lvl w:ilvl="0" w:tplc="ED2EBBD6">
      <w:numFmt w:val="bullet"/>
      <w:lvlText w:val="-"/>
      <w:lvlJc w:val="left"/>
      <w:pPr>
        <w:ind w:left="530" w:hanging="360"/>
      </w:pPr>
      <w:rPr>
        <w:rFonts w:ascii="Open Sans" w:eastAsiaTheme="minorEastAsia" w:hAnsi="Open Sans" w:cs="Open Sans" w:hint="default"/>
      </w:rPr>
    </w:lvl>
    <w:lvl w:ilvl="1" w:tplc="04140003" w:tentative="1">
      <w:start w:val="1"/>
      <w:numFmt w:val="bullet"/>
      <w:lvlText w:val="o"/>
      <w:lvlJc w:val="left"/>
      <w:pPr>
        <w:ind w:left="1250" w:hanging="360"/>
      </w:pPr>
      <w:rPr>
        <w:rFonts w:ascii="Courier New" w:hAnsi="Courier New" w:cs="Courier New" w:hint="default"/>
      </w:rPr>
    </w:lvl>
    <w:lvl w:ilvl="2" w:tplc="04140005" w:tentative="1">
      <w:start w:val="1"/>
      <w:numFmt w:val="bullet"/>
      <w:lvlText w:val=""/>
      <w:lvlJc w:val="left"/>
      <w:pPr>
        <w:ind w:left="1970" w:hanging="360"/>
      </w:pPr>
      <w:rPr>
        <w:rFonts w:ascii="Wingdings" w:hAnsi="Wingdings" w:hint="default"/>
      </w:rPr>
    </w:lvl>
    <w:lvl w:ilvl="3" w:tplc="04140001" w:tentative="1">
      <w:start w:val="1"/>
      <w:numFmt w:val="bullet"/>
      <w:lvlText w:val=""/>
      <w:lvlJc w:val="left"/>
      <w:pPr>
        <w:ind w:left="2690" w:hanging="360"/>
      </w:pPr>
      <w:rPr>
        <w:rFonts w:ascii="Symbol" w:hAnsi="Symbol" w:hint="default"/>
      </w:rPr>
    </w:lvl>
    <w:lvl w:ilvl="4" w:tplc="04140003" w:tentative="1">
      <w:start w:val="1"/>
      <w:numFmt w:val="bullet"/>
      <w:lvlText w:val="o"/>
      <w:lvlJc w:val="left"/>
      <w:pPr>
        <w:ind w:left="3410" w:hanging="360"/>
      </w:pPr>
      <w:rPr>
        <w:rFonts w:ascii="Courier New" w:hAnsi="Courier New" w:cs="Courier New" w:hint="default"/>
      </w:rPr>
    </w:lvl>
    <w:lvl w:ilvl="5" w:tplc="04140005" w:tentative="1">
      <w:start w:val="1"/>
      <w:numFmt w:val="bullet"/>
      <w:lvlText w:val=""/>
      <w:lvlJc w:val="left"/>
      <w:pPr>
        <w:ind w:left="4130" w:hanging="360"/>
      </w:pPr>
      <w:rPr>
        <w:rFonts w:ascii="Wingdings" w:hAnsi="Wingdings" w:hint="default"/>
      </w:rPr>
    </w:lvl>
    <w:lvl w:ilvl="6" w:tplc="04140001" w:tentative="1">
      <w:start w:val="1"/>
      <w:numFmt w:val="bullet"/>
      <w:lvlText w:val=""/>
      <w:lvlJc w:val="left"/>
      <w:pPr>
        <w:ind w:left="4850" w:hanging="360"/>
      </w:pPr>
      <w:rPr>
        <w:rFonts w:ascii="Symbol" w:hAnsi="Symbol" w:hint="default"/>
      </w:rPr>
    </w:lvl>
    <w:lvl w:ilvl="7" w:tplc="04140003" w:tentative="1">
      <w:start w:val="1"/>
      <w:numFmt w:val="bullet"/>
      <w:lvlText w:val="o"/>
      <w:lvlJc w:val="left"/>
      <w:pPr>
        <w:ind w:left="5570" w:hanging="360"/>
      </w:pPr>
      <w:rPr>
        <w:rFonts w:ascii="Courier New" w:hAnsi="Courier New" w:cs="Courier New" w:hint="default"/>
      </w:rPr>
    </w:lvl>
    <w:lvl w:ilvl="8" w:tplc="04140005" w:tentative="1">
      <w:start w:val="1"/>
      <w:numFmt w:val="bullet"/>
      <w:lvlText w:val=""/>
      <w:lvlJc w:val="left"/>
      <w:pPr>
        <w:ind w:left="6290" w:hanging="360"/>
      </w:pPr>
      <w:rPr>
        <w:rFonts w:ascii="Wingdings" w:hAnsi="Wingdings" w:hint="default"/>
      </w:rPr>
    </w:lvl>
  </w:abstractNum>
  <w:abstractNum w:abstractNumId="1" w15:restartNumberingAfterBreak="0">
    <w:nsid w:val="0B643B48"/>
    <w:multiLevelType w:val="hybridMultilevel"/>
    <w:tmpl w:val="CEE01212"/>
    <w:lvl w:ilvl="0" w:tplc="AF3E8658">
      <w:start w:val="1"/>
      <w:numFmt w:val="bullet"/>
      <w:lvlText w:val="•"/>
      <w:lvlJc w:val="left"/>
      <w:pPr>
        <w:tabs>
          <w:tab w:val="num" w:pos="720"/>
        </w:tabs>
        <w:ind w:left="720" w:hanging="360"/>
      </w:pPr>
      <w:rPr>
        <w:rFonts w:ascii="Arial" w:hAnsi="Arial" w:hint="default"/>
      </w:rPr>
    </w:lvl>
    <w:lvl w:ilvl="1" w:tplc="695685A6" w:tentative="1">
      <w:start w:val="1"/>
      <w:numFmt w:val="bullet"/>
      <w:lvlText w:val="•"/>
      <w:lvlJc w:val="left"/>
      <w:pPr>
        <w:tabs>
          <w:tab w:val="num" w:pos="1440"/>
        </w:tabs>
        <w:ind w:left="1440" w:hanging="360"/>
      </w:pPr>
      <w:rPr>
        <w:rFonts w:ascii="Arial" w:hAnsi="Arial" w:hint="default"/>
      </w:rPr>
    </w:lvl>
    <w:lvl w:ilvl="2" w:tplc="AA367F02" w:tentative="1">
      <w:start w:val="1"/>
      <w:numFmt w:val="bullet"/>
      <w:lvlText w:val="•"/>
      <w:lvlJc w:val="left"/>
      <w:pPr>
        <w:tabs>
          <w:tab w:val="num" w:pos="2160"/>
        </w:tabs>
        <w:ind w:left="2160" w:hanging="360"/>
      </w:pPr>
      <w:rPr>
        <w:rFonts w:ascii="Arial" w:hAnsi="Arial" w:hint="default"/>
      </w:rPr>
    </w:lvl>
    <w:lvl w:ilvl="3" w:tplc="059813C4" w:tentative="1">
      <w:start w:val="1"/>
      <w:numFmt w:val="bullet"/>
      <w:lvlText w:val="•"/>
      <w:lvlJc w:val="left"/>
      <w:pPr>
        <w:tabs>
          <w:tab w:val="num" w:pos="2880"/>
        </w:tabs>
        <w:ind w:left="2880" w:hanging="360"/>
      </w:pPr>
      <w:rPr>
        <w:rFonts w:ascii="Arial" w:hAnsi="Arial" w:hint="default"/>
      </w:rPr>
    </w:lvl>
    <w:lvl w:ilvl="4" w:tplc="B016C49A" w:tentative="1">
      <w:start w:val="1"/>
      <w:numFmt w:val="bullet"/>
      <w:lvlText w:val="•"/>
      <w:lvlJc w:val="left"/>
      <w:pPr>
        <w:tabs>
          <w:tab w:val="num" w:pos="3600"/>
        </w:tabs>
        <w:ind w:left="3600" w:hanging="360"/>
      </w:pPr>
      <w:rPr>
        <w:rFonts w:ascii="Arial" w:hAnsi="Arial" w:hint="default"/>
      </w:rPr>
    </w:lvl>
    <w:lvl w:ilvl="5" w:tplc="F6D6264E" w:tentative="1">
      <w:start w:val="1"/>
      <w:numFmt w:val="bullet"/>
      <w:lvlText w:val="•"/>
      <w:lvlJc w:val="left"/>
      <w:pPr>
        <w:tabs>
          <w:tab w:val="num" w:pos="4320"/>
        </w:tabs>
        <w:ind w:left="4320" w:hanging="360"/>
      </w:pPr>
      <w:rPr>
        <w:rFonts w:ascii="Arial" w:hAnsi="Arial" w:hint="default"/>
      </w:rPr>
    </w:lvl>
    <w:lvl w:ilvl="6" w:tplc="098CB204" w:tentative="1">
      <w:start w:val="1"/>
      <w:numFmt w:val="bullet"/>
      <w:lvlText w:val="•"/>
      <w:lvlJc w:val="left"/>
      <w:pPr>
        <w:tabs>
          <w:tab w:val="num" w:pos="5040"/>
        </w:tabs>
        <w:ind w:left="5040" w:hanging="360"/>
      </w:pPr>
      <w:rPr>
        <w:rFonts w:ascii="Arial" w:hAnsi="Arial" w:hint="default"/>
      </w:rPr>
    </w:lvl>
    <w:lvl w:ilvl="7" w:tplc="B4887CC6" w:tentative="1">
      <w:start w:val="1"/>
      <w:numFmt w:val="bullet"/>
      <w:lvlText w:val="•"/>
      <w:lvlJc w:val="left"/>
      <w:pPr>
        <w:tabs>
          <w:tab w:val="num" w:pos="5760"/>
        </w:tabs>
        <w:ind w:left="5760" w:hanging="360"/>
      </w:pPr>
      <w:rPr>
        <w:rFonts w:ascii="Arial" w:hAnsi="Arial" w:hint="default"/>
      </w:rPr>
    </w:lvl>
    <w:lvl w:ilvl="8" w:tplc="5AAE32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076654"/>
    <w:multiLevelType w:val="hybridMultilevel"/>
    <w:tmpl w:val="D8FAB15A"/>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 w15:restartNumberingAfterBreak="0">
    <w:nsid w:val="0DD26D44"/>
    <w:multiLevelType w:val="hybridMultilevel"/>
    <w:tmpl w:val="1446026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101076E4"/>
    <w:multiLevelType w:val="hybridMultilevel"/>
    <w:tmpl w:val="A40274AA"/>
    <w:lvl w:ilvl="0" w:tplc="04140001">
      <w:start w:val="1"/>
      <w:numFmt w:val="bullet"/>
      <w:lvlText w:val=""/>
      <w:lvlJc w:val="left"/>
      <w:pPr>
        <w:tabs>
          <w:tab w:val="num" w:pos="720"/>
        </w:tabs>
        <w:ind w:left="720" w:hanging="360"/>
      </w:pPr>
      <w:rPr>
        <w:rFonts w:ascii="Symbol" w:hAnsi="Symbol" w:hint="default"/>
      </w:rPr>
    </w:lvl>
    <w:lvl w:ilvl="1" w:tplc="67602C38">
      <w:start w:val="1"/>
      <w:numFmt w:val="decimal"/>
      <w:lvlText w:val="%2."/>
      <w:lvlJc w:val="left"/>
      <w:pPr>
        <w:tabs>
          <w:tab w:val="num" w:pos="1440"/>
        </w:tabs>
        <w:ind w:left="1440" w:hanging="360"/>
      </w:pPr>
    </w:lvl>
    <w:lvl w:ilvl="2" w:tplc="AFC0F3DA">
      <w:start w:val="1"/>
      <w:numFmt w:val="decimal"/>
      <w:lvlText w:val="%3."/>
      <w:lvlJc w:val="left"/>
      <w:pPr>
        <w:tabs>
          <w:tab w:val="num" w:pos="2160"/>
        </w:tabs>
        <w:ind w:left="2160" w:hanging="360"/>
      </w:pPr>
    </w:lvl>
    <w:lvl w:ilvl="3" w:tplc="B5982918">
      <w:start w:val="1"/>
      <w:numFmt w:val="decimal"/>
      <w:lvlText w:val="%4."/>
      <w:lvlJc w:val="left"/>
      <w:pPr>
        <w:tabs>
          <w:tab w:val="num" w:pos="2880"/>
        </w:tabs>
        <w:ind w:left="2880" w:hanging="360"/>
      </w:pPr>
    </w:lvl>
    <w:lvl w:ilvl="4" w:tplc="E29AE146">
      <w:start w:val="1"/>
      <w:numFmt w:val="decimal"/>
      <w:lvlText w:val="%5."/>
      <w:lvlJc w:val="left"/>
      <w:pPr>
        <w:tabs>
          <w:tab w:val="num" w:pos="3600"/>
        </w:tabs>
        <w:ind w:left="3600" w:hanging="360"/>
      </w:pPr>
    </w:lvl>
    <w:lvl w:ilvl="5" w:tplc="DCC2909A">
      <w:start w:val="1"/>
      <w:numFmt w:val="decimal"/>
      <w:lvlText w:val="%6."/>
      <w:lvlJc w:val="left"/>
      <w:pPr>
        <w:tabs>
          <w:tab w:val="num" w:pos="4320"/>
        </w:tabs>
        <w:ind w:left="4320" w:hanging="360"/>
      </w:pPr>
    </w:lvl>
    <w:lvl w:ilvl="6" w:tplc="D9B4858C">
      <w:start w:val="1"/>
      <w:numFmt w:val="decimal"/>
      <w:lvlText w:val="%7."/>
      <w:lvlJc w:val="left"/>
      <w:pPr>
        <w:tabs>
          <w:tab w:val="num" w:pos="5040"/>
        </w:tabs>
        <w:ind w:left="5040" w:hanging="360"/>
      </w:pPr>
    </w:lvl>
    <w:lvl w:ilvl="7" w:tplc="BF50141A">
      <w:start w:val="1"/>
      <w:numFmt w:val="decimal"/>
      <w:lvlText w:val="%8."/>
      <w:lvlJc w:val="left"/>
      <w:pPr>
        <w:tabs>
          <w:tab w:val="num" w:pos="5760"/>
        </w:tabs>
        <w:ind w:left="5760" w:hanging="360"/>
      </w:pPr>
    </w:lvl>
    <w:lvl w:ilvl="8" w:tplc="88DCF6FC">
      <w:start w:val="1"/>
      <w:numFmt w:val="decimal"/>
      <w:lvlText w:val="%9."/>
      <w:lvlJc w:val="left"/>
      <w:pPr>
        <w:tabs>
          <w:tab w:val="num" w:pos="6480"/>
        </w:tabs>
        <w:ind w:left="6480" w:hanging="360"/>
      </w:pPr>
    </w:lvl>
  </w:abstractNum>
  <w:abstractNum w:abstractNumId="5" w15:restartNumberingAfterBreak="0">
    <w:nsid w:val="12E22597"/>
    <w:multiLevelType w:val="hybridMultilevel"/>
    <w:tmpl w:val="B9941BF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8356519"/>
    <w:multiLevelType w:val="hybridMultilevel"/>
    <w:tmpl w:val="68EA70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8D84D67"/>
    <w:multiLevelType w:val="multilevel"/>
    <w:tmpl w:val="612C29E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8" w15:restartNumberingAfterBreak="0">
    <w:nsid w:val="194F2EF0"/>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216D81"/>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E30382"/>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CAD5656"/>
    <w:multiLevelType w:val="multilevel"/>
    <w:tmpl w:val="612C29E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2" w15:restartNumberingAfterBreak="0">
    <w:nsid w:val="28CF3647"/>
    <w:multiLevelType w:val="hybridMultilevel"/>
    <w:tmpl w:val="1052624A"/>
    <w:lvl w:ilvl="0" w:tplc="04AA51FA">
      <w:start w:val="1"/>
      <w:numFmt w:val="bullet"/>
      <w:lvlText w:val="•"/>
      <w:lvlJc w:val="left"/>
      <w:pPr>
        <w:tabs>
          <w:tab w:val="num" w:pos="360"/>
        </w:tabs>
        <w:ind w:left="360" w:hanging="360"/>
      </w:pPr>
      <w:rPr>
        <w:rFonts w:ascii="Arial" w:hAnsi="Arial" w:hint="default"/>
      </w:rPr>
    </w:lvl>
    <w:lvl w:ilvl="1" w:tplc="681C5128" w:tentative="1">
      <w:start w:val="1"/>
      <w:numFmt w:val="bullet"/>
      <w:lvlText w:val="•"/>
      <w:lvlJc w:val="left"/>
      <w:pPr>
        <w:tabs>
          <w:tab w:val="num" w:pos="1080"/>
        </w:tabs>
        <w:ind w:left="1080" w:hanging="360"/>
      </w:pPr>
      <w:rPr>
        <w:rFonts w:ascii="Arial" w:hAnsi="Arial" w:hint="default"/>
      </w:rPr>
    </w:lvl>
    <w:lvl w:ilvl="2" w:tplc="C44AFD2C" w:tentative="1">
      <w:start w:val="1"/>
      <w:numFmt w:val="bullet"/>
      <w:lvlText w:val="•"/>
      <w:lvlJc w:val="left"/>
      <w:pPr>
        <w:tabs>
          <w:tab w:val="num" w:pos="1800"/>
        </w:tabs>
        <w:ind w:left="1800" w:hanging="360"/>
      </w:pPr>
      <w:rPr>
        <w:rFonts w:ascii="Arial" w:hAnsi="Arial" w:hint="default"/>
      </w:rPr>
    </w:lvl>
    <w:lvl w:ilvl="3" w:tplc="24B48E50" w:tentative="1">
      <w:start w:val="1"/>
      <w:numFmt w:val="bullet"/>
      <w:lvlText w:val="•"/>
      <w:lvlJc w:val="left"/>
      <w:pPr>
        <w:tabs>
          <w:tab w:val="num" w:pos="2520"/>
        </w:tabs>
        <w:ind w:left="2520" w:hanging="360"/>
      </w:pPr>
      <w:rPr>
        <w:rFonts w:ascii="Arial" w:hAnsi="Arial" w:hint="default"/>
      </w:rPr>
    </w:lvl>
    <w:lvl w:ilvl="4" w:tplc="31D6339C" w:tentative="1">
      <w:start w:val="1"/>
      <w:numFmt w:val="bullet"/>
      <w:lvlText w:val="•"/>
      <w:lvlJc w:val="left"/>
      <w:pPr>
        <w:tabs>
          <w:tab w:val="num" w:pos="3240"/>
        </w:tabs>
        <w:ind w:left="3240" w:hanging="360"/>
      </w:pPr>
      <w:rPr>
        <w:rFonts w:ascii="Arial" w:hAnsi="Arial" w:hint="default"/>
      </w:rPr>
    </w:lvl>
    <w:lvl w:ilvl="5" w:tplc="50706EF4" w:tentative="1">
      <w:start w:val="1"/>
      <w:numFmt w:val="bullet"/>
      <w:lvlText w:val="•"/>
      <w:lvlJc w:val="left"/>
      <w:pPr>
        <w:tabs>
          <w:tab w:val="num" w:pos="3960"/>
        </w:tabs>
        <w:ind w:left="3960" w:hanging="360"/>
      </w:pPr>
      <w:rPr>
        <w:rFonts w:ascii="Arial" w:hAnsi="Arial" w:hint="default"/>
      </w:rPr>
    </w:lvl>
    <w:lvl w:ilvl="6" w:tplc="F5E28C30" w:tentative="1">
      <w:start w:val="1"/>
      <w:numFmt w:val="bullet"/>
      <w:lvlText w:val="•"/>
      <w:lvlJc w:val="left"/>
      <w:pPr>
        <w:tabs>
          <w:tab w:val="num" w:pos="4680"/>
        </w:tabs>
        <w:ind w:left="4680" w:hanging="360"/>
      </w:pPr>
      <w:rPr>
        <w:rFonts w:ascii="Arial" w:hAnsi="Arial" w:hint="default"/>
      </w:rPr>
    </w:lvl>
    <w:lvl w:ilvl="7" w:tplc="9A565834" w:tentative="1">
      <w:start w:val="1"/>
      <w:numFmt w:val="bullet"/>
      <w:lvlText w:val="•"/>
      <w:lvlJc w:val="left"/>
      <w:pPr>
        <w:tabs>
          <w:tab w:val="num" w:pos="5400"/>
        </w:tabs>
        <w:ind w:left="5400" w:hanging="360"/>
      </w:pPr>
      <w:rPr>
        <w:rFonts w:ascii="Arial" w:hAnsi="Arial" w:hint="default"/>
      </w:rPr>
    </w:lvl>
    <w:lvl w:ilvl="8" w:tplc="385A1BB8"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2A066217"/>
    <w:multiLevelType w:val="multilevel"/>
    <w:tmpl w:val="612C29E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4" w15:restartNumberingAfterBreak="0">
    <w:nsid w:val="2F18670A"/>
    <w:multiLevelType w:val="hybridMultilevel"/>
    <w:tmpl w:val="6EDEDE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F504256"/>
    <w:multiLevelType w:val="hybridMultilevel"/>
    <w:tmpl w:val="2E20F5F6"/>
    <w:lvl w:ilvl="0" w:tplc="7806D84E">
      <w:start w:val="1"/>
      <w:numFmt w:val="bullet"/>
      <w:lvlText w:val="•"/>
      <w:lvlJc w:val="left"/>
      <w:pPr>
        <w:tabs>
          <w:tab w:val="num" w:pos="720"/>
        </w:tabs>
        <w:ind w:left="720" w:hanging="360"/>
      </w:pPr>
      <w:rPr>
        <w:rFonts w:ascii="Arial" w:hAnsi="Arial" w:hint="default"/>
      </w:rPr>
    </w:lvl>
    <w:lvl w:ilvl="1" w:tplc="A6E2CF08" w:tentative="1">
      <w:start w:val="1"/>
      <w:numFmt w:val="bullet"/>
      <w:lvlText w:val="•"/>
      <w:lvlJc w:val="left"/>
      <w:pPr>
        <w:tabs>
          <w:tab w:val="num" w:pos="1440"/>
        </w:tabs>
        <w:ind w:left="1440" w:hanging="360"/>
      </w:pPr>
      <w:rPr>
        <w:rFonts w:ascii="Arial" w:hAnsi="Arial" w:hint="default"/>
      </w:rPr>
    </w:lvl>
    <w:lvl w:ilvl="2" w:tplc="197E3A52" w:tentative="1">
      <w:start w:val="1"/>
      <w:numFmt w:val="bullet"/>
      <w:lvlText w:val="•"/>
      <w:lvlJc w:val="left"/>
      <w:pPr>
        <w:tabs>
          <w:tab w:val="num" w:pos="2160"/>
        </w:tabs>
        <w:ind w:left="2160" w:hanging="360"/>
      </w:pPr>
      <w:rPr>
        <w:rFonts w:ascii="Arial" w:hAnsi="Arial" w:hint="default"/>
      </w:rPr>
    </w:lvl>
    <w:lvl w:ilvl="3" w:tplc="B8229E7A" w:tentative="1">
      <w:start w:val="1"/>
      <w:numFmt w:val="bullet"/>
      <w:lvlText w:val="•"/>
      <w:lvlJc w:val="left"/>
      <w:pPr>
        <w:tabs>
          <w:tab w:val="num" w:pos="2880"/>
        </w:tabs>
        <w:ind w:left="2880" w:hanging="360"/>
      </w:pPr>
      <w:rPr>
        <w:rFonts w:ascii="Arial" w:hAnsi="Arial" w:hint="default"/>
      </w:rPr>
    </w:lvl>
    <w:lvl w:ilvl="4" w:tplc="344465B4" w:tentative="1">
      <w:start w:val="1"/>
      <w:numFmt w:val="bullet"/>
      <w:lvlText w:val="•"/>
      <w:lvlJc w:val="left"/>
      <w:pPr>
        <w:tabs>
          <w:tab w:val="num" w:pos="3600"/>
        </w:tabs>
        <w:ind w:left="3600" w:hanging="360"/>
      </w:pPr>
      <w:rPr>
        <w:rFonts w:ascii="Arial" w:hAnsi="Arial" w:hint="default"/>
      </w:rPr>
    </w:lvl>
    <w:lvl w:ilvl="5" w:tplc="2A2EB172" w:tentative="1">
      <w:start w:val="1"/>
      <w:numFmt w:val="bullet"/>
      <w:lvlText w:val="•"/>
      <w:lvlJc w:val="left"/>
      <w:pPr>
        <w:tabs>
          <w:tab w:val="num" w:pos="4320"/>
        </w:tabs>
        <w:ind w:left="4320" w:hanging="360"/>
      </w:pPr>
      <w:rPr>
        <w:rFonts w:ascii="Arial" w:hAnsi="Arial" w:hint="default"/>
      </w:rPr>
    </w:lvl>
    <w:lvl w:ilvl="6" w:tplc="0B4A8B2C" w:tentative="1">
      <w:start w:val="1"/>
      <w:numFmt w:val="bullet"/>
      <w:lvlText w:val="•"/>
      <w:lvlJc w:val="left"/>
      <w:pPr>
        <w:tabs>
          <w:tab w:val="num" w:pos="5040"/>
        </w:tabs>
        <w:ind w:left="5040" w:hanging="360"/>
      </w:pPr>
      <w:rPr>
        <w:rFonts w:ascii="Arial" w:hAnsi="Arial" w:hint="default"/>
      </w:rPr>
    </w:lvl>
    <w:lvl w:ilvl="7" w:tplc="84424944" w:tentative="1">
      <w:start w:val="1"/>
      <w:numFmt w:val="bullet"/>
      <w:lvlText w:val="•"/>
      <w:lvlJc w:val="left"/>
      <w:pPr>
        <w:tabs>
          <w:tab w:val="num" w:pos="5760"/>
        </w:tabs>
        <w:ind w:left="5760" w:hanging="360"/>
      </w:pPr>
      <w:rPr>
        <w:rFonts w:ascii="Arial" w:hAnsi="Arial" w:hint="default"/>
      </w:rPr>
    </w:lvl>
    <w:lvl w:ilvl="8" w:tplc="4622DE3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A30BD6"/>
    <w:multiLevelType w:val="hybridMultilevel"/>
    <w:tmpl w:val="9E46615C"/>
    <w:lvl w:ilvl="0" w:tplc="71901078">
      <w:start w:val="1"/>
      <w:numFmt w:val="bullet"/>
      <w:lvlText w:val="•"/>
      <w:lvlJc w:val="left"/>
      <w:pPr>
        <w:tabs>
          <w:tab w:val="num" w:pos="720"/>
        </w:tabs>
        <w:ind w:left="720" w:hanging="360"/>
      </w:pPr>
      <w:rPr>
        <w:rFonts w:ascii="Arial" w:hAnsi="Arial" w:hint="default"/>
      </w:rPr>
    </w:lvl>
    <w:lvl w:ilvl="1" w:tplc="3ED87434">
      <w:numFmt w:val="bullet"/>
      <w:lvlText w:val="•"/>
      <w:lvlJc w:val="left"/>
      <w:pPr>
        <w:tabs>
          <w:tab w:val="num" w:pos="1440"/>
        </w:tabs>
        <w:ind w:left="1440" w:hanging="360"/>
      </w:pPr>
      <w:rPr>
        <w:rFonts w:ascii="Arial" w:hAnsi="Arial" w:hint="default"/>
      </w:rPr>
    </w:lvl>
    <w:lvl w:ilvl="2" w:tplc="8370D0C6" w:tentative="1">
      <w:start w:val="1"/>
      <w:numFmt w:val="bullet"/>
      <w:lvlText w:val="•"/>
      <w:lvlJc w:val="left"/>
      <w:pPr>
        <w:tabs>
          <w:tab w:val="num" w:pos="2160"/>
        </w:tabs>
        <w:ind w:left="2160" w:hanging="360"/>
      </w:pPr>
      <w:rPr>
        <w:rFonts w:ascii="Arial" w:hAnsi="Arial" w:hint="default"/>
      </w:rPr>
    </w:lvl>
    <w:lvl w:ilvl="3" w:tplc="E3746920" w:tentative="1">
      <w:start w:val="1"/>
      <w:numFmt w:val="bullet"/>
      <w:lvlText w:val="•"/>
      <w:lvlJc w:val="left"/>
      <w:pPr>
        <w:tabs>
          <w:tab w:val="num" w:pos="2880"/>
        </w:tabs>
        <w:ind w:left="2880" w:hanging="360"/>
      </w:pPr>
      <w:rPr>
        <w:rFonts w:ascii="Arial" w:hAnsi="Arial" w:hint="default"/>
      </w:rPr>
    </w:lvl>
    <w:lvl w:ilvl="4" w:tplc="7A688010" w:tentative="1">
      <w:start w:val="1"/>
      <w:numFmt w:val="bullet"/>
      <w:lvlText w:val="•"/>
      <w:lvlJc w:val="left"/>
      <w:pPr>
        <w:tabs>
          <w:tab w:val="num" w:pos="3600"/>
        </w:tabs>
        <w:ind w:left="3600" w:hanging="360"/>
      </w:pPr>
      <w:rPr>
        <w:rFonts w:ascii="Arial" w:hAnsi="Arial" w:hint="default"/>
      </w:rPr>
    </w:lvl>
    <w:lvl w:ilvl="5" w:tplc="7D36272E" w:tentative="1">
      <w:start w:val="1"/>
      <w:numFmt w:val="bullet"/>
      <w:lvlText w:val="•"/>
      <w:lvlJc w:val="left"/>
      <w:pPr>
        <w:tabs>
          <w:tab w:val="num" w:pos="4320"/>
        </w:tabs>
        <w:ind w:left="4320" w:hanging="360"/>
      </w:pPr>
      <w:rPr>
        <w:rFonts w:ascii="Arial" w:hAnsi="Arial" w:hint="default"/>
      </w:rPr>
    </w:lvl>
    <w:lvl w:ilvl="6" w:tplc="5BDA2CDC" w:tentative="1">
      <w:start w:val="1"/>
      <w:numFmt w:val="bullet"/>
      <w:lvlText w:val="•"/>
      <w:lvlJc w:val="left"/>
      <w:pPr>
        <w:tabs>
          <w:tab w:val="num" w:pos="5040"/>
        </w:tabs>
        <w:ind w:left="5040" w:hanging="360"/>
      </w:pPr>
      <w:rPr>
        <w:rFonts w:ascii="Arial" w:hAnsi="Arial" w:hint="default"/>
      </w:rPr>
    </w:lvl>
    <w:lvl w:ilvl="7" w:tplc="61149F24" w:tentative="1">
      <w:start w:val="1"/>
      <w:numFmt w:val="bullet"/>
      <w:lvlText w:val="•"/>
      <w:lvlJc w:val="left"/>
      <w:pPr>
        <w:tabs>
          <w:tab w:val="num" w:pos="5760"/>
        </w:tabs>
        <w:ind w:left="5760" w:hanging="360"/>
      </w:pPr>
      <w:rPr>
        <w:rFonts w:ascii="Arial" w:hAnsi="Arial" w:hint="default"/>
      </w:rPr>
    </w:lvl>
    <w:lvl w:ilvl="8" w:tplc="98FCA3A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FF06B7F"/>
    <w:multiLevelType w:val="hybridMultilevel"/>
    <w:tmpl w:val="603C6BFC"/>
    <w:lvl w:ilvl="0" w:tplc="25AA5CF0">
      <w:start w:val="1"/>
      <w:numFmt w:val="bullet"/>
      <w:lvlText w:val="•"/>
      <w:lvlJc w:val="left"/>
      <w:pPr>
        <w:tabs>
          <w:tab w:val="num" w:pos="720"/>
        </w:tabs>
        <w:ind w:left="720" w:hanging="360"/>
      </w:pPr>
      <w:rPr>
        <w:rFonts w:ascii="Arial" w:hAnsi="Arial" w:hint="default"/>
      </w:rPr>
    </w:lvl>
    <w:lvl w:ilvl="1" w:tplc="C186B89E" w:tentative="1">
      <w:start w:val="1"/>
      <w:numFmt w:val="bullet"/>
      <w:lvlText w:val="•"/>
      <w:lvlJc w:val="left"/>
      <w:pPr>
        <w:tabs>
          <w:tab w:val="num" w:pos="1440"/>
        </w:tabs>
        <w:ind w:left="1440" w:hanging="360"/>
      </w:pPr>
      <w:rPr>
        <w:rFonts w:ascii="Arial" w:hAnsi="Arial" w:hint="default"/>
      </w:rPr>
    </w:lvl>
    <w:lvl w:ilvl="2" w:tplc="F85ECD58" w:tentative="1">
      <w:start w:val="1"/>
      <w:numFmt w:val="bullet"/>
      <w:lvlText w:val="•"/>
      <w:lvlJc w:val="left"/>
      <w:pPr>
        <w:tabs>
          <w:tab w:val="num" w:pos="2160"/>
        </w:tabs>
        <w:ind w:left="2160" w:hanging="360"/>
      </w:pPr>
      <w:rPr>
        <w:rFonts w:ascii="Arial" w:hAnsi="Arial" w:hint="default"/>
      </w:rPr>
    </w:lvl>
    <w:lvl w:ilvl="3" w:tplc="5D34EB7C" w:tentative="1">
      <w:start w:val="1"/>
      <w:numFmt w:val="bullet"/>
      <w:lvlText w:val="•"/>
      <w:lvlJc w:val="left"/>
      <w:pPr>
        <w:tabs>
          <w:tab w:val="num" w:pos="2880"/>
        </w:tabs>
        <w:ind w:left="2880" w:hanging="360"/>
      </w:pPr>
      <w:rPr>
        <w:rFonts w:ascii="Arial" w:hAnsi="Arial" w:hint="default"/>
      </w:rPr>
    </w:lvl>
    <w:lvl w:ilvl="4" w:tplc="BD0E38B8" w:tentative="1">
      <w:start w:val="1"/>
      <w:numFmt w:val="bullet"/>
      <w:lvlText w:val="•"/>
      <w:lvlJc w:val="left"/>
      <w:pPr>
        <w:tabs>
          <w:tab w:val="num" w:pos="3600"/>
        </w:tabs>
        <w:ind w:left="3600" w:hanging="360"/>
      </w:pPr>
      <w:rPr>
        <w:rFonts w:ascii="Arial" w:hAnsi="Arial" w:hint="default"/>
      </w:rPr>
    </w:lvl>
    <w:lvl w:ilvl="5" w:tplc="4ACCCCBC" w:tentative="1">
      <w:start w:val="1"/>
      <w:numFmt w:val="bullet"/>
      <w:lvlText w:val="•"/>
      <w:lvlJc w:val="left"/>
      <w:pPr>
        <w:tabs>
          <w:tab w:val="num" w:pos="4320"/>
        </w:tabs>
        <w:ind w:left="4320" w:hanging="360"/>
      </w:pPr>
      <w:rPr>
        <w:rFonts w:ascii="Arial" w:hAnsi="Arial" w:hint="default"/>
      </w:rPr>
    </w:lvl>
    <w:lvl w:ilvl="6" w:tplc="BC187EAC" w:tentative="1">
      <w:start w:val="1"/>
      <w:numFmt w:val="bullet"/>
      <w:lvlText w:val="•"/>
      <w:lvlJc w:val="left"/>
      <w:pPr>
        <w:tabs>
          <w:tab w:val="num" w:pos="5040"/>
        </w:tabs>
        <w:ind w:left="5040" w:hanging="360"/>
      </w:pPr>
      <w:rPr>
        <w:rFonts w:ascii="Arial" w:hAnsi="Arial" w:hint="default"/>
      </w:rPr>
    </w:lvl>
    <w:lvl w:ilvl="7" w:tplc="13A4F15E" w:tentative="1">
      <w:start w:val="1"/>
      <w:numFmt w:val="bullet"/>
      <w:lvlText w:val="•"/>
      <w:lvlJc w:val="left"/>
      <w:pPr>
        <w:tabs>
          <w:tab w:val="num" w:pos="5760"/>
        </w:tabs>
        <w:ind w:left="5760" w:hanging="360"/>
      </w:pPr>
      <w:rPr>
        <w:rFonts w:ascii="Arial" w:hAnsi="Arial" w:hint="default"/>
      </w:rPr>
    </w:lvl>
    <w:lvl w:ilvl="8" w:tplc="528E65D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01322C7"/>
    <w:multiLevelType w:val="hybridMultilevel"/>
    <w:tmpl w:val="BE4CDFFA"/>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15:restartNumberingAfterBreak="0">
    <w:nsid w:val="559F05D9"/>
    <w:multiLevelType w:val="hybridMultilevel"/>
    <w:tmpl w:val="E770567E"/>
    <w:lvl w:ilvl="0" w:tplc="96B06322">
      <w:start w:val="1"/>
      <w:numFmt w:val="bullet"/>
      <w:lvlText w:val="•"/>
      <w:lvlJc w:val="left"/>
      <w:pPr>
        <w:tabs>
          <w:tab w:val="num" w:pos="720"/>
        </w:tabs>
        <w:ind w:left="720" w:hanging="360"/>
      </w:pPr>
      <w:rPr>
        <w:rFonts w:ascii="Arial" w:hAnsi="Arial" w:hint="default"/>
      </w:rPr>
    </w:lvl>
    <w:lvl w:ilvl="1" w:tplc="6A000026" w:tentative="1">
      <w:start w:val="1"/>
      <w:numFmt w:val="bullet"/>
      <w:lvlText w:val="•"/>
      <w:lvlJc w:val="left"/>
      <w:pPr>
        <w:tabs>
          <w:tab w:val="num" w:pos="1440"/>
        </w:tabs>
        <w:ind w:left="1440" w:hanging="360"/>
      </w:pPr>
      <w:rPr>
        <w:rFonts w:ascii="Arial" w:hAnsi="Arial" w:hint="default"/>
      </w:rPr>
    </w:lvl>
    <w:lvl w:ilvl="2" w:tplc="EAAA155C" w:tentative="1">
      <w:start w:val="1"/>
      <w:numFmt w:val="bullet"/>
      <w:lvlText w:val="•"/>
      <w:lvlJc w:val="left"/>
      <w:pPr>
        <w:tabs>
          <w:tab w:val="num" w:pos="2160"/>
        </w:tabs>
        <w:ind w:left="2160" w:hanging="360"/>
      </w:pPr>
      <w:rPr>
        <w:rFonts w:ascii="Arial" w:hAnsi="Arial" w:hint="default"/>
      </w:rPr>
    </w:lvl>
    <w:lvl w:ilvl="3" w:tplc="A80E9814" w:tentative="1">
      <w:start w:val="1"/>
      <w:numFmt w:val="bullet"/>
      <w:lvlText w:val="•"/>
      <w:lvlJc w:val="left"/>
      <w:pPr>
        <w:tabs>
          <w:tab w:val="num" w:pos="2880"/>
        </w:tabs>
        <w:ind w:left="2880" w:hanging="360"/>
      </w:pPr>
      <w:rPr>
        <w:rFonts w:ascii="Arial" w:hAnsi="Arial" w:hint="default"/>
      </w:rPr>
    </w:lvl>
    <w:lvl w:ilvl="4" w:tplc="BD6C6068" w:tentative="1">
      <w:start w:val="1"/>
      <w:numFmt w:val="bullet"/>
      <w:lvlText w:val="•"/>
      <w:lvlJc w:val="left"/>
      <w:pPr>
        <w:tabs>
          <w:tab w:val="num" w:pos="3600"/>
        </w:tabs>
        <w:ind w:left="3600" w:hanging="360"/>
      </w:pPr>
      <w:rPr>
        <w:rFonts w:ascii="Arial" w:hAnsi="Arial" w:hint="default"/>
      </w:rPr>
    </w:lvl>
    <w:lvl w:ilvl="5" w:tplc="F806A312" w:tentative="1">
      <w:start w:val="1"/>
      <w:numFmt w:val="bullet"/>
      <w:lvlText w:val="•"/>
      <w:lvlJc w:val="left"/>
      <w:pPr>
        <w:tabs>
          <w:tab w:val="num" w:pos="4320"/>
        </w:tabs>
        <w:ind w:left="4320" w:hanging="360"/>
      </w:pPr>
      <w:rPr>
        <w:rFonts w:ascii="Arial" w:hAnsi="Arial" w:hint="default"/>
      </w:rPr>
    </w:lvl>
    <w:lvl w:ilvl="6" w:tplc="5E9028A2" w:tentative="1">
      <w:start w:val="1"/>
      <w:numFmt w:val="bullet"/>
      <w:lvlText w:val="•"/>
      <w:lvlJc w:val="left"/>
      <w:pPr>
        <w:tabs>
          <w:tab w:val="num" w:pos="5040"/>
        </w:tabs>
        <w:ind w:left="5040" w:hanging="360"/>
      </w:pPr>
      <w:rPr>
        <w:rFonts w:ascii="Arial" w:hAnsi="Arial" w:hint="default"/>
      </w:rPr>
    </w:lvl>
    <w:lvl w:ilvl="7" w:tplc="12E8B722" w:tentative="1">
      <w:start w:val="1"/>
      <w:numFmt w:val="bullet"/>
      <w:lvlText w:val="•"/>
      <w:lvlJc w:val="left"/>
      <w:pPr>
        <w:tabs>
          <w:tab w:val="num" w:pos="5760"/>
        </w:tabs>
        <w:ind w:left="5760" w:hanging="360"/>
      </w:pPr>
      <w:rPr>
        <w:rFonts w:ascii="Arial" w:hAnsi="Arial" w:hint="default"/>
      </w:rPr>
    </w:lvl>
    <w:lvl w:ilvl="8" w:tplc="43B293B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CDA5778"/>
    <w:multiLevelType w:val="hybridMultilevel"/>
    <w:tmpl w:val="BCF24952"/>
    <w:lvl w:ilvl="0" w:tplc="22907270">
      <w:start w:val="1"/>
      <w:numFmt w:val="bullet"/>
      <w:lvlText w:val="•"/>
      <w:lvlJc w:val="left"/>
      <w:pPr>
        <w:tabs>
          <w:tab w:val="num" w:pos="720"/>
        </w:tabs>
        <w:ind w:left="720" w:hanging="360"/>
      </w:pPr>
      <w:rPr>
        <w:rFonts w:ascii="Arial" w:hAnsi="Arial" w:hint="default"/>
      </w:rPr>
    </w:lvl>
    <w:lvl w:ilvl="1" w:tplc="9140B8AC" w:tentative="1">
      <w:start w:val="1"/>
      <w:numFmt w:val="bullet"/>
      <w:lvlText w:val="•"/>
      <w:lvlJc w:val="left"/>
      <w:pPr>
        <w:tabs>
          <w:tab w:val="num" w:pos="1440"/>
        </w:tabs>
        <w:ind w:left="1440" w:hanging="360"/>
      </w:pPr>
      <w:rPr>
        <w:rFonts w:ascii="Arial" w:hAnsi="Arial" w:hint="default"/>
      </w:rPr>
    </w:lvl>
    <w:lvl w:ilvl="2" w:tplc="23B09570" w:tentative="1">
      <w:start w:val="1"/>
      <w:numFmt w:val="bullet"/>
      <w:lvlText w:val="•"/>
      <w:lvlJc w:val="left"/>
      <w:pPr>
        <w:tabs>
          <w:tab w:val="num" w:pos="2160"/>
        </w:tabs>
        <w:ind w:left="2160" w:hanging="360"/>
      </w:pPr>
      <w:rPr>
        <w:rFonts w:ascii="Arial" w:hAnsi="Arial" w:hint="default"/>
      </w:rPr>
    </w:lvl>
    <w:lvl w:ilvl="3" w:tplc="5BC03824" w:tentative="1">
      <w:start w:val="1"/>
      <w:numFmt w:val="bullet"/>
      <w:lvlText w:val="•"/>
      <w:lvlJc w:val="left"/>
      <w:pPr>
        <w:tabs>
          <w:tab w:val="num" w:pos="2880"/>
        </w:tabs>
        <w:ind w:left="2880" w:hanging="360"/>
      </w:pPr>
      <w:rPr>
        <w:rFonts w:ascii="Arial" w:hAnsi="Arial" w:hint="default"/>
      </w:rPr>
    </w:lvl>
    <w:lvl w:ilvl="4" w:tplc="32DA2EA2" w:tentative="1">
      <w:start w:val="1"/>
      <w:numFmt w:val="bullet"/>
      <w:lvlText w:val="•"/>
      <w:lvlJc w:val="left"/>
      <w:pPr>
        <w:tabs>
          <w:tab w:val="num" w:pos="3600"/>
        </w:tabs>
        <w:ind w:left="3600" w:hanging="360"/>
      </w:pPr>
      <w:rPr>
        <w:rFonts w:ascii="Arial" w:hAnsi="Arial" w:hint="default"/>
      </w:rPr>
    </w:lvl>
    <w:lvl w:ilvl="5" w:tplc="7C4CEB9A" w:tentative="1">
      <w:start w:val="1"/>
      <w:numFmt w:val="bullet"/>
      <w:lvlText w:val="•"/>
      <w:lvlJc w:val="left"/>
      <w:pPr>
        <w:tabs>
          <w:tab w:val="num" w:pos="4320"/>
        </w:tabs>
        <w:ind w:left="4320" w:hanging="360"/>
      </w:pPr>
      <w:rPr>
        <w:rFonts w:ascii="Arial" w:hAnsi="Arial" w:hint="default"/>
      </w:rPr>
    </w:lvl>
    <w:lvl w:ilvl="6" w:tplc="0102F362" w:tentative="1">
      <w:start w:val="1"/>
      <w:numFmt w:val="bullet"/>
      <w:lvlText w:val="•"/>
      <w:lvlJc w:val="left"/>
      <w:pPr>
        <w:tabs>
          <w:tab w:val="num" w:pos="5040"/>
        </w:tabs>
        <w:ind w:left="5040" w:hanging="360"/>
      </w:pPr>
      <w:rPr>
        <w:rFonts w:ascii="Arial" w:hAnsi="Arial" w:hint="default"/>
      </w:rPr>
    </w:lvl>
    <w:lvl w:ilvl="7" w:tplc="AE7EC300" w:tentative="1">
      <w:start w:val="1"/>
      <w:numFmt w:val="bullet"/>
      <w:lvlText w:val="•"/>
      <w:lvlJc w:val="left"/>
      <w:pPr>
        <w:tabs>
          <w:tab w:val="num" w:pos="5760"/>
        </w:tabs>
        <w:ind w:left="5760" w:hanging="360"/>
      </w:pPr>
      <w:rPr>
        <w:rFonts w:ascii="Arial" w:hAnsi="Arial" w:hint="default"/>
      </w:rPr>
    </w:lvl>
    <w:lvl w:ilvl="8" w:tplc="8E96994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CDF1093"/>
    <w:multiLevelType w:val="multilevel"/>
    <w:tmpl w:val="612C29E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2" w15:restartNumberingAfterBreak="0">
    <w:nsid w:val="5D3216E4"/>
    <w:multiLevelType w:val="hybridMultilevel"/>
    <w:tmpl w:val="ABD0EA84"/>
    <w:lvl w:ilvl="0" w:tplc="7424019C">
      <w:start w:val="1"/>
      <w:numFmt w:val="bullet"/>
      <w:lvlText w:val="•"/>
      <w:lvlJc w:val="left"/>
      <w:pPr>
        <w:tabs>
          <w:tab w:val="num" w:pos="720"/>
        </w:tabs>
        <w:ind w:left="720" w:hanging="360"/>
      </w:pPr>
      <w:rPr>
        <w:rFonts w:ascii="Arial" w:hAnsi="Arial" w:hint="default"/>
      </w:rPr>
    </w:lvl>
    <w:lvl w:ilvl="1" w:tplc="F7F0523A" w:tentative="1">
      <w:start w:val="1"/>
      <w:numFmt w:val="bullet"/>
      <w:lvlText w:val="•"/>
      <w:lvlJc w:val="left"/>
      <w:pPr>
        <w:tabs>
          <w:tab w:val="num" w:pos="1440"/>
        </w:tabs>
        <w:ind w:left="1440" w:hanging="360"/>
      </w:pPr>
      <w:rPr>
        <w:rFonts w:ascii="Arial" w:hAnsi="Arial" w:hint="default"/>
      </w:rPr>
    </w:lvl>
    <w:lvl w:ilvl="2" w:tplc="F626AE3C" w:tentative="1">
      <w:start w:val="1"/>
      <w:numFmt w:val="bullet"/>
      <w:lvlText w:val="•"/>
      <w:lvlJc w:val="left"/>
      <w:pPr>
        <w:tabs>
          <w:tab w:val="num" w:pos="2160"/>
        </w:tabs>
        <w:ind w:left="2160" w:hanging="360"/>
      </w:pPr>
      <w:rPr>
        <w:rFonts w:ascii="Arial" w:hAnsi="Arial" w:hint="default"/>
      </w:rPr>
    </w:lvl>
    <w:lvl w:ilvl="3" w:tplc="D960F73A" w:tentative="1">
      <w:start w:val="1"/>
      <w:numFmt w:val="bullet"/>
      <w:lvlText w:val="•"/>
      <w:lvlJc w:val="left"/>
      <w:pPr>
        <w:tabs>
          <w:tab w:val="num" w:pos="2880"/>
        </w:tabs>
        <w:ind w:left="2880" w:hanging="360"/>
      </w:pPr>
      <w:rPr>
        <w:rFonts w:ascii="Arial" w:hAnsi="Arial" w:hint="default"/>
      </w:rPr>
    </w:lvl>
    <w:lvl w:ilvl="4" w:tplc="2C1ECBD0" w:tentative="1">
      <w:start w:val="1"/>
      <w:numFmt w:val="bullet"/>
      <w:lvlText w:val="•"/>
      <w:lvlJc w:val="left"/>
      <w:pPr>
        <w:tabs>
          <w:tab w:val="num" w:pos="3600"/>
        </w:tabs>
        <w:ind w:left="3600" w:hanging="360"/>
      </w:pPr>
      <w:rPr>
        <w:rFonts w:ascii="Arial" w:hAnsi="Arial" w:hint="default"/>
      </w:rPr>
    </w:lvl>
    <w:lvl w:ilvl="5" w:tplc="75DE2842" w:tentative="1">
      <w:start w:val="1"/>
      <w:numFmt w:val="bullet"/>
      <w:lvlText w:val="•"/>
      <w:lvlJc w:val="left"/>
      <w:pPr>
        <w:tabs>
          <w:tab w:val="num" w:pos="4320"/>
        </w:tabs>
        <w:ind w:left="4320" w:hanging="360"/>
      </w:pPr>
      <w:rPr>
        <w:rFonts w:ascii="Arial" w:hAnsi="Arial" w:hint="default"/>
      </w:rPr>
    </w:lvl>
    <w:lvl w:ilvl="6" w:tplc="F1387AD8" w:tentative="1">
      <w:start w:val="1"/>
      <w:numFmt w:val="bullet"/>
      <w:lvlText w:val="•"/>
      <w:lvlJc w:val="left"/>
      <w:pPr>
        <w:tabs>
          <w:tab w:val="num" w:pos="5040"/>
        </w:tabs>
        <w:ind w:left="5040" w:hanging="360"/>
      </w:pPr>
      <w:rPr>
        <w:rFonts w:ascii="Arial" w:hAnsi="Arial" w:hint="default"/>
      </w:rPr>
    </w:lvl>
    <w:lvl w:ilvl="7" w:tplc="48B4769A" w:tentative="1">
      <w:start w:val="1"/>
      <w:numFmt w:val="bullet"/>
      <w:lvlText w:val="•"/>
      <w:lvlJc w:val="left"/>
      <w:pPr>
        <w:tabs>
          <w:tab w:val="num" w:pos="5760"/>
        </w:tabs>
        <w:ind w:left="5760" w:hanging="360"/>
      </w:pPr>
      <w:rPr>
        <w:rFonts w:ascii="Arial" w:hAnsi="Arial" w:hint="default"/>
      </w:rPr>
    </w:lvl>
    <w:lvl w:ilvl="8" w:tplc="8304A23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033561C"/>
    <w:multiLevelType w:val="hybridMultilevel"/>
    <w:tmpl w:val="FC98D712"/>
    <w:lvl w:ilvl="0" w:tplc="04140001">
      <w:start w:val="2004"/>
      <w:numFmt w:val="bullet"/>
      <w:lvlText w:val=""/>
      <w:lvlJc w:val="left"/>
      <w:pPr>
        <w:tabs>
          <w:tab w:val="num" w:pos="720"/>
        </w:tabs>
        <w:ind w:left="720" w:hanging="360"/>
      </w:pPr>
      <w:rPr>
        <w:rFonts w:ascii="Symbol" w:eastAsia="Times New Roman" w:hAnsi="Symbol"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24" w15:restartNumberingAfterBreak="0">
    <w:nsid w:val="62524077"/>
    <w:multiLevelType w:val="hybridMultilevel"/>
    <w:tmpl w:val="CB262CAE"/>
    <w:lvl w:ilvl="0" w:tplc="7CE27808">
      <w:start w:val="1"/>
      <w:numFmt w:val="bullet"/>
      <w:lvlText w:val="•"/>
      <w:lvlJc w:val="left"/>
      <w:pPr>
        <w:tabs>
          <w:tab w:val="num" w:pos="720"/>
        </w:tabs>
        <w:ind w:left="720" w:hanging="360"/>
      </w:pPr>
      <w:rPr>
        <w:rFonts w:ascii="Arial" w:hAnsi="Arial" w:hint="default"/>
      </w:rPr>
    </w:lvl>
    <w:lvl w:ilvl="1" w:tplc="61789928" w:tentative="1">
      <w:start w:val="1"/>
      <w:numFmt w:val="bullet"/>
      <w:lvlText w:val="•"/>
      <w:lvlJc w:val="left"/>
      <w:pPr>
        <w:tabs>
          <w:tab w:val="num" w:pos="1440"/>
        </w:tabs>
        <w:ind w:left="1440" w:hanging="360"/>
      </w:pPr>
      <w:rPr>
        <w:rFonts w:ascii="Arial" w:hAnsi="Arial" w:hint="default"/>
      </w:rPr>
    </w:lvl>
    <w:lvl w:ilvl="2" w:tplc="23468272" w:tentative="1">
      <w:start w:val="1"/>
      <w:numFmt w:val="bullet"/>
      <w:lvlText w:val="•"/>
      <w:lvlJc w:val="left"/>
      <w:pPr>
        <w:tabs>
          <w:tab w:val="num" w:pos="2160"/>
        </w:tabs>
        <w:ind w:left="2160" w:hanging="360"/>
      </w:pPr>
      <w:rPr>
        <w:rFonts w:ascii="Arial" w:hAnsi="Arial" w:hint="default"/>
      </w:rPr>
    </w:lvl>
    <w:lvl w:ilvl="3" w:tplc="DC2AEB50" w:tentative="1">
      <w:start w:val="1"/>
      <w:numFmt w:val="bullet"/>
      <w:lvlText w:val="•"/>
      <w:lvlJc w:val="left"/>
      <w:pPr>
        <w:tabs>
          <w:tab w:val="num" w:pos="2880"/>
        </w:tabs>
        <w:ind w:left="2880" w:hanging="360"/>
      </w:pPr>
      <w:rPr>
        <w:rFonts w:ascii="Arial" w:hAnsi="Arial" w:hint="default"/>
      </w:rPr>
    </w:lvl>
    <w:lvl w:ilvl="4" w:tplc="100268BE" w:tentative="1">
      <w:start w:val="1"/>
      <w:numFmt w:val="bullet"/>
      <w:lvlText w:val="•"/>
      <w:lvlJc w:val="left"/>
      <w:pPr>
        <w:tabs>
          <w:tab w:val="num" w:pos="3600"/>
        </w:tabs>
        <w:ind w:left="3600" w:hanging="360"/>
      </w:pPr>
      <w:rPr>
        <w:rFonts w:ascii="Arial" w:hAnsi="Arial" w:hint="default"/>
      </w:rPr>
    </w:lvl>
    <w:lvl w:ilvl="5" w:tplc="D9E6CD5E" w:tentative="1">
      <w:start w:val="1"/>
      <w:numFmt w:val="bullet"/>
      <w:lvlText w:val="•"/>
      <w:lvlJc w:val="left"/>
      <w:pPr>
        <w:tabs>
          <w:tab w:val="num" w:pos="4320"/>
        </w:tabs>
        <w:ind w:left="4320" w:hanging="360"/>
      </w:pPr>
      <w:rPr>
        <w:rFonts w:ascii="Arial" w:hAnsi="Arial" w:hint="default"/>
      </w:rPr>
    </w:lvl>
    <w:lvl w:ilvl="6" w:tplc="4F362C2C" w:tentative="1">
      <w:start w:val="1"/>
      <w:numFmt w:val="bullet"/>
      <w:lvlText w:val="•"/>
      <w:lvlJc w:val="left"/>
      <w:pPr>
        <w:tabs>
          <w:tab w:val="num" w:pos="5040"/>
        </w:tabs>
        <w:ind w:left="5040" w:hanging="360"/>
      </w:pPr>
      <w:rPr>
        <w:rFonts w:ascii="Arial" w:hAnsi="Arial" w:hint="default"/>
      </w:rPr>
    </w:lvl>
    <w:lvl w:ilvl="7" w:tplc="F30CC2B2" w:tentative="1">
      <w:start w:val="1"/>
      <w:numFmt w:val="bullet"/>
      <w:lvlText w:val="•"/>
      <w:lvlJc w:val="left"/>
      <w:pPr>
        <w:tabs>
          <w:tab w:val="num" w:pos="5760"/>
        </w:tabs>
        <w:ind w:left="5760" w:hanging="360"/>
      </w:pPr>
      <w:rPr>
        <w:rFonts w:ascii="Arial" w:hAnsi="Arial" w:hint="default"/>
      </w:rPr>
    </w:lvl>
    <w:lvl w:ilvl="8" w:tplc="CF3A9A2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B642D93"/>
    <w:multiLevelType w:val="multilevel"/>
    <w:tmpl w:val="612C29E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6" w15:restartNumberingAfterBreak="0">
    <w:nsid w:val="6DA7677E"/>
    <w:multiLevelType w:val="hybridMultilevel"/>
    <w:tmpl w:val="08D41008"/>
    <w:lvl w:ilvl="0" w:tplc="04140011">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7" w15:restartNumberingAfterBreak="0">
    <w:nsid w:val="6F6430FC"/>
    <w:multiLevelType w:val="hybridMultilevel"/>
    <w:tmpl w:val="C262C2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046005A"/>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5BF7C84"/>
    <w:multiLevelType w:val="hybridMultilevel"/>
    <w:tmpl w:val="6406A182"/>
    <w:lvl w:ilvl="0" w:tplc="6A526312">
      <w:start w:val="1"/>
      <w:numFmt w:val="bullet"/>
      <w:lvlText w:val="•"/>
      <w:lvlJc w:val="left"/>
      <w:pPr>
        <w:tabs>
          <w:tab w:val="num" w:pos="720"/>
        </w:tabs>
        <w:ind w:left="720" w:hanging="360"/>
      </w:pPr>
      <w:rPr>
        <w:rFonts w:ascii="Arial" w:hAnsi="Arial" w:hint="default"/>
      </w:rPr>
    </w:lvl>
    <w:lvl w:ilvl="1" w:tplc="1042F2C6" w:tentative="1">
      <w:start w:val="1"/>
      <w:numFmt w:val="bullet"/>
      <w:lvlText w:val="•"/>
      <w:lvlJc w:val="left"/>
      <w:pPr>
        <w:tabs>
          <w:tab w:val="num" w:pos="1440"/>
        </w:tabs>
        <w:ind w:left="1440" w:hanging="360"/>
      </w:pPr>
      <w:rPr>
        <w:rFonts w:ascii="Arial" w:hAnsi="Arial" w:hint="default"/>
      </w:rPr>
    </w:lvl>
    <w:lvl w:ilvl="2" w:tplc="3938A5A8" w:tentative="1">
      <w:start w:val="1"/>
      <w:numFmt w:val="bullet"/>
      <w:lvlText w:val="•"/>
      <w:lvlJc w:val="left"/>
      <w:pPr>
        <w:tabs>
          <w:tab w:val="num" w:pos="2160"/>
        </w:tabs>
        <w:ind w:left="2160" w:hanging="360"/>
      </w:pPr>
      <w:rPr>
        <w:rFonts w:ascii="Arial" w:hAnsi="Arial" w:hint="default"/>
      </w:rPr>
    </w:lvl>
    <w:lvl w:ilvl="3" w:tplc="909E9E6E" w:tentative="1">
      <w:start w:val="1"/>
      <w:numFmt w:val="bullet"/>
      <w:lvlText w:val="•"/>
      <w:lvlJc w:val="left"/>
      <w:pPr>
        <w:tabs>
          <w:tab w:val="num" w:pos="2880"/>
        </w:tabs>
        <w:ind w:left="2880" w:hanging="360"/>
      </w:pPr>
      <w:rPr>
        <w:rFonts w:ascii="Arial" w:hAnsi="Arial" w:hint="default"/>
      </w:rPr>
    </w:lvl>
    <w:lvl w:ilvl="4" w:tplc="4BF8EBB2" w:tentative="1">
      <w:start w:val="1"/>
      <w:numFmt w:val="bullet"/>
      <w:lvlText w:val="•"/>
      <w:lvlJc w:val="left"/>
      <w:pPr>
        <w:tabs>
          <w:tab w:val="num" w:pos="3600"/>
        </w:tabs>
        <w:ind w:left="3600" w:hanging="360"/>
      </w:pPr>
      <w:rPr>
        <w:rFonts w:ascii="Arial" w:hAnsi="Arial" w:hint="default"/>
      </w:rPr>
    </w:lvl>
    <w:lvl w:ilvl="5" w:tplc="A1F603C0" w:tentative="1">
      <w:start w:val="1"/>
      <w:numFmt w:val="bullet"/>
      <w:lvlText w:val="•"/>
      <w:lvlJc w:val="left"/>
      <w:pPr>
        <w:tabs>
          <w:tab w:val="num" w:pos="4320"/>
        </w:tabs>
        <w:ind w:left="4320" w:hanging="360"/>
      </w:pPr>
      <w:rPr>
        <w:rFonts w:ascii="Arial" w:hAnsi="Arial" w:hint="default"/>
      </w:rPr>
    </w:lvl>
    <w:lvl w:ilvl="6" w:tplc="36827782" w:tentative="1">
      <w:start w:val="1"/>
      <w:numFmt w:val="bullet"/>
      <w:lvlText w:val="•"/>
      <w:lvlJc w:val="left"/>
      <w:pPr>
        <w:tabs>
          <w:tab w:val="num" w:pos="5040"/>
        </w:tabs>
        <w:ind w:left="5040" w:hanging="360"/>
      </w:pPr>
      <w:rPr>
        <w:rFonts w:ascii="Arial" w:hAnsi="Arial" w:hint="default"/>
      </w:rPr>
    </w:lvl>
    <w:lvl w:ilvl="7" w:tplc="5710710A" w:tentative="1">
      <w:start w:val="1"/>
      <w:numFmt w:val="bullet"/>
      <w:lvlText w:val="•"/>
      <w:lvlJc w:val="left"/>
      <w:pPr>
        <w:tabs>
          <w:tab w:val="num" w:pos="5760"/>
        </w:tabs>
        <w:ind w:left="5760" w:hanging="360"/>
      </w:pPr>
      <w:rPr>
        <w:rFonts w:ascii="Arial" w:hAnsi="Arial" w:hint="default"/>
      </w:rPr>
    </w:lvl>
    <w:lvl w:ilvl="8" w:tplc="23302B0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BD8610A"/>
    <w:multiLevelType w:val="hybridMultilevel"/>
    <w:tmpl w:val="2BFCAC7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8"/>
  </w:num>
  <w:num w:numId="2">
    <w:abstractNumId w:val="11"/>
  </w:num>
  <w:num w:numId="3">
    <w:abstractNumId w:val="8"/>
  </w:num>
  <w:num w:numId="4">
    <w:abstractNumId w:val="10"/>
  </w:num>
  <w:num w:numId="5">
    <w:abstractNumId w:val="28"/>
  </w:num>
  <w:num w:numId="6">
    <w:abstractNumId w:val="9"/>
  </w:num>
  <w:num w:numId="7">
    <w:abstractNumId w:val="6"/>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5"/>
  </w:num>
  <w:num w:numId="11">
    <w:abstractNumId w:val="7"/>
  </w:num>
  <w:num w:numId="12">
    <w:abstractNumId w:val="22"/>
  </w:num>
  <w:num w:numId="13">
    <w:abstractNumId w:val="15"/>
  </w:num>
  <w:num w:numId="14">
    <w:abstractNumId w:val="2"/>
  </w:num>
  <w:num w:numId="15">
    <w:abstractNumId w:val="4"/>
  </w:num>
  <w:num w:numId="16">
    <w:abstractNumId w:val="13"/>
  </w:num>
  <w:num w:numId="17">
    <w:abstractNumId w:val="21"/>
  </w:num>
  <w:num w:numId="18">
    <w:abstractNumId w:val="17"/>
  </w:num>
  <w:num w:numId="19">
    <w:abstractNumId w:val="19"/>
  </w:num>
  <w:num w:numId="20">
    <w:abstractNumId w:val="14"/>
  </w:num>
  <w:num w:numId="21">
    <w:abstractNumId w:val="29"/>
  </w:num>
  <w:num w:numId="22">
    <w:abstractNumId w:val="0"/>
  </w:num>
  <w:num w:numId="23">
    <w:abstractNumId w:val="26"/>
  </w:num>
  <w:num w:numId="24">
    <w:abstractNumId w:val="12"/>
  </w:num>
  <w:num w:numId="25">
    <w:abstractNumId w:val="24"/>
  </w:num>
  <w:num w:numId="26">
    <w:abstractNumId w:val="16"/>
  </w:num>
  <w:num w:numId="27">
    <w:abstractNumId w:val="27"/>
  </w:num>
  <w:num w:numId="28">
    <w:abstractNumId w:val="1"/>
  </w:num>
  <w:num w:numId="29">
    <w:abstractNumId w:val="30"/>
  </w:num>
  <w:num w:numId="30">
    <w:abstractNumId w:val="5"/>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9D7"/>
    <w:rsid w:val="00003D2A"/>
    <w:rsid w:val="00016002"/>
    <w:rsid w:val="000258EF"/>
    <w:rsid w:val="00034BF0"/>
    <w:rsid w:val="000508B7"/>
    <w:rsid w:val="0005344A"/>
    <w:rsid w:val="00056B3E"/>
    <w:rsid w:val="000D602B"/>
    <w:rsid w:val="00102143"/>
    <w:rsid w:val="001456E4"/>
    <w:rsid w:val="0015324A"/>
    <w:rsid w:val="00160DEC"/>
    <w:rsid w:val="00171EA0"/>
    <w:rsid w:val="00172F9B"/>
    <w:rsid w:val="001730C9"/>
    <w:rsid w:val="001E0961"/>
    <w:rsid w:val="001E25B4"/>
    <w:rsid w:val="001F4F0B"/>
    <w:rsid w:val="002063A6"/>
    <w:rsid w:val="00216B43"/>
    <w:rsid w:val="00226022"/>
    <w:rsid w:val="00241722"/>
    <w:rsid w:val="00255AC6"/>
    <w:rsid w:val="0025627A"/>
    <w:rsid w:val="00263503"/>
    <w:rsid w:val="00263821"/>
    <w:rsid w:val="00266B05"/>
    <w:rsid w:val="00291892"/>
    <w:rsid w:val="00291912"/>
    <w:rsid w:val="002B2D30"/>
    <w:rsid w:val="002B6EFF"/>
    <w:rsid w:val="003007B4"/>
    <w:rsid w:val="0031215A"/>
    <w:rsid w:val="00313915"/>
    <w:rsid w:val="003433F4"/>
    <w:rsid w:val="00356191"/>
    <w:rsid w:val="00364A84"/>
    <w:rsid w:val="00377AF6"/>
    <w:rsid w:val="003833B3"/>
    <w:rsid w:val="00392C26"/>
    <w:rsid w:val="003B3404"/>
    <w:rsid w:val="003D5D3F"/>
    <w:rsid w:val="003F7C68"/>
    <w:rsid w:val="004350B2"/>
    <w:rsid w:val="004356F8"/>
    <w:rsid w:val="00454069"/>
    <w:rsid w:val="0046491A"/>
    <w:rsid w:val="00477BD8"/>
    <w:rsid w:val="004818EC"/>
    <w:rsid w:val="00483AE2"/>
    <w:rsid w:val="004906F2"/>
    <w:rsid w:val="00492951"/>
    <w:rsid w:val="004E06CB"/>
    <w:rsid w:val="004E76B8"/>
    <w:rsid w:val="00512C09"/>
    <w:rsid w:val="00512EED"/>
    <w:rsid w:val="005500E5"/>
    <w:rsid w:val="00573DD9"/>
    <w:rsid w:val="005813EA"/>
    <w:rsid w:val="00587575"/>
    <w:rsid w:val="005A1870"/>
    <w:rsid w:val="005C1731"/>
    <w:rsid w:val="005D24F6"/>
    <w:rsid w:val="005D6057"/>
    <w:rsid w:val="005F2143"/>
    <w:rsid w:val="00635640"/>
    <w:rsid w:val="0066424A"/>
    <w:rsid w:val="00692484"/>
    <w:rsid w:val="006C086B"/>
    <w:rsid w:val="006C2CB3"/>
    <w:rsid w:val="006D3F66"/>
    <w:rsid w:val="006F17D0"/>
    <w:rsid w:val="00713173"/>
    <w:rsid w:val="00736482"/>
    <w:rsid w:val="0074692A"/>
    <w:rsid w:val="0076289F"/>
    <w:rsid w:val="007639F6"/>
    <w:rsid w:val="00765261"/>
    <w:rsid w:val="0077680B"/>
    <w:rsid w:val="007A55E0"/>
    <w:rsid w:val="007B0996"/>
    <w:rsid w:val="007E168A"/>
    <w:rsid w:val="007E22E3"/>
    <w:rsid w:val="007E7CF2"/>
    <w:rsid w:val="007F2D7D"/>
    <w:rsid w:val="008062A5"/>
    <w:rsid w:val="00813297"/>
    <w:rsid w:val="00823471"/>
    <w:rsid w:val="00850FEB"/>
    <w:rsid w:val="00861232"/>
    <w:rsid w:val="0086172D"/>
    <w:rsid w:val="00866BB0"/>
    <w:rsid w:val="00875E17"/>
    <w:rsid w:val="00882C4E"/>
    <w:rsid w:val="008A0C66"/>
    <w:rsid w:val="008B4501"/>
    <w:rsid w:val="008C01BD"/>
    <w:rsid w:val="008D504E"/>
    <w:rsid w:val="008D7B92"/>
    <w:rsid w:val="00922A33"/>
    <w:rsid w:val="009366E1"/>
    <w:rsid w:val="00941ABF"/>
    <w:rsid w:val="00951EBD"/>
    <w:rsid w:val="009656E9"/>
    <w:rsid w:val="009B29D7"/>
    <w:rsid w:val="009B5062"/>
    <w:rsid w:val="00A019E4"/>
    <w:rsid w:val="00A0304F"/>
    <w:rsid w:val="00A20AF1"/>
    <w:rsid w:val="00A34171"/>
    <w:rsid w:val="00A57318"/>
    <w:rsid w:val="00AC4945"/>
    <w:rsid w:val="00AE712D"/>
    <w:rsid w:val="00AF7768"/>
    <w:rsid w:val="00B00BB6"/>
    <w:rsid w:val="00B01669"/>
    <w:rsid w:val="00B05EEA"/>
    <w:rsid w:val="00B0658E"/>
    <w:rsid w:val="00B07477"/>
    <w:rsid w:val="00B2409F"/>
    <w:rsid w:val="00B419BD"/>
    <w:rsid w:val="00B846F2"/>
    <w:rsid w:val="00B90A6B"/>
    <w:rsid w:val="00BB2AD1"/>
    <w:rsid w:val="00BB67B5"/>
    <w:rsid w:val="00BD4CF8"/>
    <w:rsid w:val="00BE376D"/>
    <w:rsid w:val="00C35DC2"/>
    <w:rsid w:val="00C4266E"/>
    <w:rsid w:val="00C63875"/>
    <w:rsid w:val="00C937B6"/>
    <w:rsid w:val="00CA1E92"/>
    <w:rsid w:val="00CA5ACF"/>
    <w:rsid w:val="00CB1B3C"/>
    <w:rsid w:val="00CC3316"/>
    <w:rsid w:val="00CC721A"/>
    <w:rsid w:val="00CC7445"/>
    <w:rsid w:val="00D008AF"/>
    <w:rsid w:val="00D109E9"/>
    <w:rsid w:val="00D10C49"/>
    <w:rsid w:val="00D34C83"/>
    <w:rsid w:val="00D548BA"/>
    <w:rsid w:val="00D820C6"/>
    <w:rsid w:val="00D821CE"/>
    <w:rsid w:val="00D83443"/>
    <w:rsid w:val="00D850DC"/>
    <w:rsid w:val="00D86703"/>
    <w:rsid w:val="00D9012F"/>
    <w:rsid w:val="00D907B4"/>
    <w:rsid w:val="00DC1073"/>
    <w:rsid w:val="00DC7524"/>
    <w:rsid w:val="00DF32D6"/>
    <w:rsid w:val="00E2722D"/>
    <w:rsid w:val="00E93F37"/>
    <w:rsid w:val="00EA1C2E"/>
    <w:rsid w:val="00EA2874"/>
    <w:rsid w:val="00EB51D1"/>
    <w:rsid w:val="00EB605F"/>
    <w:rsid w:val="00EB75BA"/>
    <w:rsid w:val="00EC4DDE"/>
    <w:rsid w:val="00EE3131"/>
    <w:rsid w:val="00EE3407"/>
    <w:rsid w:val="00EF679E"/>
    <w:rsid w:val="00EF7294"/>
    <w:rsid w:val="00F00F61"/>
    <w:rsid w:val="00F0217D"/>
    <w:rsid w:val="00F17E84"/>
    <w:rsid w:val="00F20B7A"/>
    <w:rsid w:val="00F20BB9"/>
    <w:rsid w:val="00F22AE5"/>
    <w:rsid w:val="00F24BE2"/>
    <w:rsid w:val="00F57100"/>
    <w:rsid w:val="00F60F7F"/>
    <w:rsid w:val="00F63DAD"/>
    <w:rsid w:val="00F65636"/>
    <w:rsid w:val="00F80BBA"/>
    <w:rsid w:val="00F85822"/>
    <w:rsid w:val="00FA1141"/>
    <w:rsid w:val="00FA619F"/>
    <w:rsid w:val="00FB19DF"/>
    <w:rsid w:val="00FB7EBB"/>
    <w:rsid w:val="00FD0AED"/>
    <w:rsid w:val="00FD38B0"/>
    <w:rsid w:val="00FF25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B42A13"/>
  <w15:docId w15:val="{70C903E3-FBA3-4096-A491-929EA29EE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5B9"/>
    <w:rPr>
      <w:rFonts w:ascii="Open Sans" w:eastAsiaTheme="minorEastAsia" w:hAnsi="Open Sans"/>
      <w:lang w:eastAsia="nb-NO"/>
    </w:rPr>
  </w:style>
  <w:style w:type="paragraph" w:styleId="Overskrift1">
    <w:name w:val="heading 1"/>
    <w:basedOn w:val="Normal"/>
    <w:next w:val="Normal"/>
    <w:link w:val="Overskrift1Tegn"/>
    <w:uiPriority w:val="9"/>
    <w:qFormat/>
    <w:rsid w:val="004356F8"/>
    <w:pPr>
      <w:widowControl w:val="0"/>
      <w:autoSpaceDE w:val="0"/>
      <w:autoSpaceDN w:val="0"/>
      <w:adjustRightInd w:val="0"/>
      <w:spacing w:after="0" w:line="480" w:lineRule="atLeast"/>
      <w:ind w:right="-31"/>
      <w:outlineLvl w:val="0"/>
    </w:pPr>
    <w:rPr>
      <w:rFonts w:ascii="Open Sans SemiBold" w:hAnsi="Open Sans SemiBold" w:cs="Arial"/>
      <w:bCs/>
      <w:sz w:val="40"/>
      <w:szCs w:val="40"/>
    </w:rPr>
  </w:style>
  <w:style w:type="paragraph" w:styleId="Overskrift2">
    <w:name w:val="heading 2"/>
    <w:basedOn w:val="Normal"/>
    <w:next w:val="Normal"/>
    <w:link w:val="Overskrift2Tegn"/>
    <w:uiPriority w:val="9"/>
    <w:unhideWhenUsed/>
    <w:qFormat/>
    <w:rsid w:val="004356F8"/>
    <w:pPr>
      <w:widowControl w:val="0"/>
      <w:autoSpaceDE w:val="0"/>
      <w:autoSpaceDN w:val="0"/>
      <w:adjustRightInd w:val="0"/>
      <w:spacing w:after="0" w:line="220" w:lineRule="atLeast"/>
      <w:ind w:right="-31"/>
      <w:outlineLvl w:val="1"/>
    </w:pPr>
    <w:rPr>
      <w:rFonts w:ascii="Open Sans SemiBold" w:hAnsi="Open Sans SemiBold" w:cs="Arial"/>
      <w:bCs/>
      <w:sz w:val="32"/>
      <w:szCs w:val="32"/>
    </w:rPr>
  </w:style>
  <w:style w:type="paragraph" w:styleId="Overskrift3">
    <w:name w:val="heading 3"/>
    <w:basedOn w:val="Normal"/>
    <w:next w:val="Normal"/>
    <w:link w:val="Overskrift3Tegn"/>
    <w:uiPriority w:val="9"/>
    <w:unhideWhenUsed/>
    <w:qFormat/>
    <w:rsid w:val="004356F8"/>
    <w:pPr>
      <w:widowControl w:val="0"/>
      <w:autoSpaceDE w:val="0"/>
      <w:autoSpaceDN w:val="0"/>
      <w:adjustRightInd w:val="0"/>
      <w:spacing w:after="0" w:line="220" w:lineRule="atLeast"/>
      <w:ind w:right="-31"/>
      <w:outlineLvl w:val="2"/>
    </w:pPr>
    <w:rPr>
      <w:rFonts w:cs="Arial"/>
      <w:sz w:val="28"/>
      <w:szCs w:val="28"/>
    </w:rPr>
  </w:style>
  <w:style w:type="paragraph" w:styleId="Overskrift4">
    <w:name w:val="heading 4"/>
    <w:aliases w:val="Avsnittsoverskrift"/>
    <w:basedOn w:val="Normal"/>
    <w:next w:val="Normal"/>
    <w:link w:val="Overskrift4Tegn"/>
    <w:uiPriority w:val="9"/>
    <w:unhideWhenUsed/>
    <w:qFormat/>
    <w:rsid w:val="004356F8"/>
    <w:pPr>
      <w:widowControl w:val="0"/>
      <w:autoSpaceDE w:val="0"/>
      <w:autoSpaceDN w:val="0"/>
      <w:adjustRightInd w:val="0"/>
      <w:spacing w:after="0" w:line="220" w:lineRule="atLeast"/>
      <w:ind w:right="-31"/>
      <w:outlineLvl w:val="3"/>
    </w:pPr>
    <w:rPr>
      <w:rFonts w:ascii="Open Sans SemiBold" w:hAnsi="Open Sans SemiBold" w:cs="Arial"/>
      <w:b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B605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B605F"/>
    <w:rPr>
      <w:rFonts w:ascii="Tahoma" w:hAnsi="Tahoma" w:cs="Tahoma"/>
      <w:sz w:val="16"/>
      <w:szCs w:val="16"/>
    </w:rPr>
  </w:style>
  <w:style w:type="paragraph" w:styleId="Ingenmellomrom">
    <w:name w:val="No Spacing"/>
    <w:link w:val="IngenmellomromTegn"/>
    <w:uiPriority w:val="1"/>
    <w:rsid w:val="007A55E0"/>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7A55E0"/>
    <w:rPr>
      <w:rFonts w:eastAsiaTheme="minorEastAsia"/>
    </w:rPr>
  </w:style>
  <w:style w:type="paragraph" w:styleId="Topptekst">
    <w:name w:val="header"/>
    <w:basedOn w:val="Normal"/>
    <w:link w:val="TopptekstTegn"/>
    <w:uiPriority w:val="99"/>
    <w:unhideWhenUsed/>
    <w:rsid w:val="007A55E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A55E0"/>
    <w:rPr>
      <w:rFonts w:eastAsiaTheme="minorEastAsia"/>
      <w:lang w:eastAsia="nb-NO"/>
    </w:rPr>
  </w:style>
  <w:style w:type="paragraph" w:styleId="Bunntekst">
    <w:name w:val="footer"/>
    <w:basedOn w:val="Normal"/>
    <w:link w:val="BunntekstTegn"/>
    <w:uiPriority w:val="99"/>
    <w:unhideWhenUsed/>
    <w:rsid w:val="007A55E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A55E0"/>
    <w:rPr>
      <w:rFonts w:eastAsiaTheme="minorEastAsia"/>
      <w:lang w:eastAsia="nb-NO"/>
    </w:rPr>
  </w:style>
  <w:style w:type="character" w:customStyle="1" w:styleId="Overskrift1Tegn">
    <w:name w:val="Overskrift 1 Tegn"/>
    <w:basedOn w:val="Standardskriftforavsnitt"/>
    <w:link w:val="Overskrift1"/>
    <w:uiPriority w:val="9"/>
    <w:rsid w:val="004356F8"/>
    <w:rPr>
      <w:rFonts w:ascii="Open Sans SemiBold" w:eastAsiaTheme="minorEastAsia" w:hAnsi="Open Sans SemiBold" w:cs="Arial"/>
      <w:bCs/>
      <w:sz w:val="40"/>
      <w:szCs w:val="40"/>
      <w:lang w:eastAsia="nb-NO"/>
    </w:rPr>
  </w:style>
  <w:style w:type="character" w:customStyle="1" w:styleId="Overskrift2Tegn">
    <w:name w:val="Overskrift 2 Tegn"/>
    <w:basedOn w:val="Standardskriftforavsnitt"/>
    <w:link w:val="Overskrift2"/>
    <w:uiPriority w:val="9"/>
    <w:rsid w:val="004356F8"/>
    <w:rPr>
      <w:rFonts w:ascii="Open Sans SemiBold" w:eastAsiaTheme="minorEastAsia" w:hAnsi="Open Sans SemiBold" w:cs="Arial"/>
      <w:bCs/>
      <w:sz w:val="32"/>
      <w:szCs w:val="32"/>
      <w:lang w:eastAsia="nb-NO"/>
    </w:rPr>
  </w:style>
  <w:style w:type="character" w:customStyle="1" w:styleId="Overskrift3Tegn">
    <w:name w:val="Overskrift 3 Tegn"/>
    <w:basedOn w:val="Standardskriftforavsnitt"/>
    <w:link w:val="Overskrift3"/>
    <w:uiPriority w:val="9"/>
    <w:rsid w:val="004356F8"/>
    <w:rPr>
      <w:rFonts w:ascii="Open Sans" w:eastAsiaTheme="minorEastAsia" w:hAnsi="Open Sans" w:cs="Arial"/>
      <w:sz w:val="28"/>
      <w:szCs w:val="28"/>
      <w:lang w:eastAsia="nb-NO"/>
    </w:rPr>
  </w:style>
  <w:style w:type="character" w:customStyle="1" w:styleId="Overskrift4Tegn">
    <w:name w:val="Overskrift 4 Tegn"/>
    <w:aliases w:val="Avsnittsoverskrift Tegn"/>
    <w:basedOn w:val="Standardskriftforavsnitt"/>
    <w:link w:val="Overskrift4"/>
    <w:uiPriority w:val="9"/>
    <w:rsid w:val="004356F8"/>
    <w:rPr>
      <w:rFonts w:ascii="Open Sans SemiBold" w:eastAsiaTheme="minorEastAsia" w:hAnsi="Open Sans SemiBold" w:cs="Arial"/>
      <w:bCs/>
      <w:lang w:eastAsia="nb-NO"/>
    </w:rPr>
  </w:style>
  <w:style w:type="paragraph" w:styleId="Undertittel">
    <w:name w:val="Subtitle"/>
    <w:aliases w:val="brødtekst"/>
    <w:basedOn w:val="Normal"/>
    <w:next w:val="Normal"/>
    <w:link w:val="UndertittelTegn"/>
    <w:uiPriority w:val="11"/>
    <w:qFormat/>
    <w:rsid w:val="004356F8"/>
    <w:pPr>
      <w:widowControl w:val="0"/>
      <w:autoSpaceDE w:val="0"/>
      <w:autoSpaceDN w:val="0"/>
      <w:adjustRightInd w:val="0"/>
      <w:spacing w:after="0" w:line="220" w:lineRule="atLeast"/>
      <w:ind w:right="-31"/>
    </w:pPr>
    <w:rPr>
      <w:rFonts w:cs="Arial"/>
      <w:sz w:val="20"/>
      <w:szCs w:val="21"/>
    </w:rPr>
  </w:style>
  <w:style w:type="character" w:customStyle="1" w:styleId="UndertittelTegn">
    <w:name w:val="Undertittel Tegn"/>
    <w:aliases w:val="brødtekst Tegn"/>
    <w:basedOn w:val="Standardskriftforavsnitt"/>
    <w:link w:val="Undertittel"/>
    <w:uiPriority w:val="11"/>
    <w:rsid w:val="004356F8"/>
    <w:rPr>
      <w:rFonts w:ascii="Open Sans" w:eastAsiaTheme="minorEastAsia" w:hAnsi="Open Sans" w:cs="Arial"/>
      <w:sz w:val="20"/>
      <w:szCs w:val="21"/>
      <w:lang w:eastAsia="nb-NO"/>
    </w:rPr>
  </w:style>
  <w:style w:type="character" w:styleId="Svakutheving">
    <w:name w:val="Subtle Emphasis"/>
    <w:aliases w:val="bildetekst"/>
    <w:uiPriority w:val="19"/>
    <w:qFormat/>
    <w:rsid w:val="004356F8"/>
    <w:rPr>
      <w:rFonts w:ascii="Open Sans" w:hAnsi="Open Sans" w:cs="Arial"/>
      <w:b w:val="0"/>
      <w:bCs/>
      <w:sz w:val="18"/>
      <w:szCs w:val="18"/>
    </w:rPr>
  </w:style>
  <w:style w:type="character" w:styleId="Utheving">
    <w:name w:val="Emphasis"/>
    <w:basedOn w:val="Standardskriftforavsnitt"/>
    <w:uiPriority w:val="20"/>
    <w:rsid w:val="001F4F0B"/>
    <w:rPr>
      <w:i/>
      <w:iCs/>
    </w:rPr>
  </w:style>
  <w:style w:type="character" w:styleId="Hyperkobling">
    <w:name w:val="Hyperlink"/>
    <w:basedOn w:val="Standardskriftforavsnitt"/>
    <w:uiPriority w:val="99"/>
    <w:unhideWhenUsed/>
    <w:rsid w:val="0005344A"/>
    <w:rPr>
      <w:color w:val="4C76BA" w:themeColor="hyperlink"/>
      <w:u w:val="single"/>
    </w:rPr>
  </w:style>
  <w:style w:type="paragraph" w:customStyle="1" w:styleId="Forside1">
    <w:name w:val="Forside 1"/>
    <w:basedOn w:val="Normal"/>
    <w:link w:val="Forside1Tegn"/>
    <w:qFormat/>
    <w:rsid w:val="00FF25B9"/>
    <w:pPr>
      <w:widowControl w:val="0"/>
      <w:autoSpaceDE w:val="0"/>
      <w:autoSpaceDN w:val="0"/>
      <w:adjustRightInd w:val="0"/>
      <w:spacing w:after="0" w:line="240" w:lineRule="auto"/>
      <w:ind w:left="170" w:right="-1021"/>
    </w:pPr>
    <w:rPr>
      <w:rFonts w:cs="Open Sans"/>
      <w:sz w:val="52"/>
      <w:szCs w:val="52"/>
    </w:rPr>
  </w:style>
  <w:style w:type="paragraph" w:customStyle="1" w:styleId="Forside2">
    <w:name w:val="Forside 2"/>
    <w:basedOn w:val="Normal"/>
    <w:link w:val="Forside2Tegn"/>
    <w:qFormat/>
    <w:rsid w:val="00FF25B9"/>
    <w:pPr>
      <w:widowControl w:val="0"/>
      <w:autoSpaceDE w:val="0"/>
      <w:autoSpaceDN w:val="0"/>
      <w:adjustRightInd w:val="0"/>
      <w:spacing w:after="0" w:line="240" w:lineRule="auto"/>
      <w:ind w:left="170" w:right="-28"/>
    </w:pPr>
    <w:rPr>
      <w:rFonts w:cs="Open Sans"/>
      <w:bCs/>
      <w:color w:val="7F7F7F" w:themeColor="text1" w:themeTint="80"/>
      <w:sz w:val="28"/>
      <w:szCs w:val="24"/>
    </w:rPr>
  </w:style>
  <w:style w:type="character" w:customStyle="1" w:styleId="Forside1Tegn">
    <w:name w:val="Forside 1 Tegn"/>
    <w:basedOn w:val="Standardskriftforavsnitt"/>
    <w:link w:val="Forside1"/>
    <w:rsid w:val="00FF25B9"/>
    <w:rPr>
      <w:rFonts w:ascii="Open Sans" w:eastAsiaTheme="minorEastAsia" w:hAnsi="Open Sans" w:cs="Open Sans"/>
      <w:sz w:val="52"/>
      <w:szCs w:val="52"/>
      <w:lang w:eastAsia="nb-NO"/>
    </w:rPr>
  </w:style>
  <w:style w:type="character" w:customStyle="1" w:styleId="Forside2Tegn">
    <w:name w:val="Forside 2 Tegn"/>
    <w:basedOn w:val="Standardskriftforavsnitt"/>
    <w:link w:val="Forside2"/>
    <w:rsid w:val="00FF25B9"/>
    <w:rPr>
      <w:rFonts w:ascii="Open Sans" w:eastAsiaTheme="minorEastAsia" w:hAnsi="Open Sans" w:cs="Open Sans"/>
      <w:bCs/>
      <w:color w:val="7F7F7F" w:themeColor="text1" w:themeTint="80"/>
      <w:sz w:val="28"/>
      <w:szCs w:val="24"/>
      <w:lang w:eastAsia="nb-NO"/>
    </w:rPr>
  </w:style>
  <w:style w:type="character" w:styleId="Ulstomtale">
    <w:name w:val="Unresolved Mention"/>
    <w:basedOn w:val="Standardskriftforavsnitt"/>
    <w:uiPriority w:val="99"/>
    <w:semiHidden/>
    <w:unhideWhenUsed/>
    <w:rsid w:val="00483AE2"/>
    <w:rPr>
      <w:color w:val="808080"/>
      <w:shd w:val="clear" w:color="auto" w:fill="E6E6E6"/>
    </w:rPr>
  </w:style>
  <w:style w:type="paragraph" w:customStyle="1" w:styleId="Stil1">
    <w:name w:val="Stil1"/>
    <w:basedOn w:val="Undertittel"/>
    <w:link w:val="Stil1Tegn"/>
    <w:qFormat/>
    <w:rsid w:val="00B846F2"/>
    <w:pPr>
      <w:tabs>
        <w:tab w:val="left" w:pos="5954"/>
      </w:tabs>
    </w:pPr>
    <w:rPr>
      <w:rFonts w:ascii="Open Sans SemiBold" w:hAnsi="Open Sans SemiBold" w:cs="Open Sans SemiBold"/>
      <w:lang w:val="nn-NO"/>
    </w:rPr>
  </w:style>
  <w:style w:type="character" w:customStyle="1" w:styleId="Stil1Tegn">
    <w:name w:val="Stil1 Tegn"/>
    <w:basedOn w:val="UndertittelTegn"/>
    <w:link w:val="Stil1"/>
    <w:rsid w:val="00B846F2"/>
    <w:rPr>
      <w:rFonts w:ascii="Open Sans SemiBold" w:eastAsiaTheme="minorEastAsia" w:hAnsi="Open Sans SemiBold" w:cs="Open Sans SemiBold"/>
      <w:sz w:val="20"/>
      <w:szCs w:val="21"/>
      <w:lang w:val="nn-NO" w:eastAsia="nb-NO"/>
    </w:rPr>
  </w:style>
  <w:style w:type="table" w:styleId="Tabellrutenett">
    <w:name w:val="Table Grid"/>
    <w:basedOn w:val="Vanligtabell"/>
    <w:uiPriority w:val="59"/>
    <w:unhideWhenUsed/>
    <w:rsid w:val="00FF25B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9B29D7"/>
    <w:pPr>
      <w:keepNext/>
      <w:keepLines/>
      <w:widowControl/>
      <w:autoSpaceDE/>
      <w:autoSpaceDN/>
      <w:adjustRightInd/>
      <w:spacing w:before="240" w:line="259" w:lineRule="auto"/>
      <w:ind w:right="0"/>
      <w:outlineLvl w:val="9"/>
    </w:pPr>
    <w:rPr>
      <w:rFonts w:asciiTheme="majorHAnsi" w:eastAsiaTheme="majorEastAsia" w:hAnsiTheme="majorHAnsi" w:cstheme="majorBidi"/>
      <w:bCs w:val="0"/>
      <w:color w:val="001A3A" w:themeColor="accent1" w:themeShade="BF"/>
      <w:sz w:val="32"/>
      <w:szCs w:val="32"/>
    </w:rPr>
  </w:style>
  <w:style w:type="paragraph" w:styleId="INNH1">
    <w:name w:val="toc 1"/>
    <w:basedOn w:val="Normal"/>
    <w:next w:val="Normal"/>
    <w:autoRedefine/>
    <w:uiPriority w:val="39"/>
    <w:unhideWhenUsed/>
    <w:rsid w:val="009B29D7"/>
    <w:pPr>
      <w:spacing w:after="100"/>
    </w:pPr>
  </w:style>
  <w:style w:type="paragraph" w:styleId="INNH2">
    <w:name w:val="toc 2"/>
    <w:basedOn w:val="Normal"/>
    <w:next w:val="Normal"/>
    <w:autoRedefine/>
    <w:uiPriority w:val="39"/>
    <w:unhideWhenUsed/>
    <w:rsid w:val="009B29D7"/>
    <w:pPr>
      <w:spacing w:after="100"/>
      <w:ind w:left="220"/>
    </w:pPr>
  </w:style>
  <w:style w:type="paragraph" w:styleId="INNH3">
    <w:name w:val="toc 3"/>
    <w:basedOn w:val="Normal"/>
    <w:next w:val="Normal"/>
    <w:autoRedefine/>
    <w:uiPriority w:val="39"/>
    <w:unhideWhenUsed/>
    <w:rsid w:val="009B29D7"/>
    <w:pPr>
      <w:spacing w:after="100"/>
      <w:ind w:left="440"/>
    </w:pPr>
  </w:style>
  <w:style w:type="paragraph" w:styleId="Listeavsnitt">
    <w:name w:val="List Paragraph"/>
    <w:basedOn w:val="Normal"/>
    <w:uiPriority w:val="34"/>
    <w:qFormat/>
    <w:rsid w:val="00B07477"/>
    <w:pPr>
      <w:ind w:left="720"/>
      <w:contextualSpacing/>
    </w:pPr>
  </w:style>
  <w:style w:type="character" w:customStyle="1" w:styleId="fontstyle01">
    <w:name w:val="fontstyle01"/>
    <w:basedOn w:val="Standardskriftforavsnitt"/>
    <w:rsid w:val="00861232"/>
    <w:rPr>
      <w:rFonts w:ascii="OpenSans-Regular" w:hAnsi="OpenSans-Regular" w:hint="default"/>
      <w:b w:val="0"/>
      <w:bCs w:val="0"/>
      <w:i w:val="0"/>
      <w:iCs w:val="0"/>
      <w:color w:val="000000"/>
      <w:sz w:val="20"/>
      <w:szCs w:val="20"/>
    </w:rPr>
  </w:style>
  <w:style w:type="table" w:customStyle="1" w:styleId="TrykketTabell">
    <w:name w:val="TrykketTabell"/>
    <w:basedOn w:val="Vanligtabell"/>
    <w:uiPriority w:val="99"/>
    <w:qFormat/>
    <w:rsid w:val="008A0C66"/>
    <w:pPr>
      <w:spacing w:after="0" w:line="240" w:lineRule="auto"/>
    </w:pPr>
    <w:rPr>
      <w:rFonts w:ascii="Times New Roman" w:eastAsia="Calibri" w:hAnsi="Times New Roman" w:cs="Times New Roman"/>
      <w:sz w:val="20"/>
      <w:szCs w:val="20"/>
    </w:rPr>
    <w:tblPr>
      <w:tblInd w:w="0" w:type="nil"/>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136192">
      <w:bodyDiv w:val="1"/>
      <w:marLeft w:val="0"/>
      <w:marRight w:val="0"/>
      <w:marTop w:val="0"/>
      <w:marBottom w:val="0"/>
      <w:divBdr>
        <w:top w:val="none" w:sz="0" w:space="0" w:color="auto"/>
        <w:left w:val="none" w:sz="0" w:space="0" w:color="auto"/>
        <w:bottom w:val="none" w:sz="0" w:space="0" w:color="auto"/>
        <w:right w:val="none" w:sz="0" w:space="0" w:color="auto"/>
      </w:divBdr>
      <w:divsChild>
        <w:div w:id="538470215">
          <w:marLeft w:val="274"/>
          <w:marRight w:val="0"/>
          <w:marTop w:val="0"/>
          <w:marBottom w:val="0"/>
          <w:divBdr>
            <w:top w:val="none" w:sz="0" w:space="0" w:color="auto"/>
            <w:left w:val="none" w:sz="0" w:space="0" w:color="auto"/>
            <w:bottom w:val="none" w:sz="0" w:space="0" w:color="auto"/>
            <w:right w:val="none" w:sz="0" w:space="0" w:color="auto"/>
          </w:divBdr>
        </w:div>
        <w:div w:id="272443910">
          <w:marLeft w:val="274"/>
          <w:marRight w:val="0"/>
          <w:marTop w:val="0"/>
          <w:marBottom w:val="0"/>
          <w:divBdr>
            <w:top w:val="none" w:sz="0" w:space="0" w:color="auto"/>
            <w:left w:val="none" w:sz="0" w:space="0" w:color="auto"/>
            <w:bottom w:val="none" w:sz="0" w:space="0" w:color="auto"/>
            <w:right w:val="none" w:sz="0" w:space="0" w:color="auto"/>
          </w:divBdr>
        </w:div>
        <w:div w:id="1845123907">
          <w:marLeft w:val="274"/>
          <w:marRight w:val="0"/>
          <w:marTop w:val="0"/>
          <w:marBottom w:val="0"/>
          <w:divBdr>
            <w:top w:val="none" w:sz="0" w:space="0" w:color="auto"/>
            <w:left w:val="none" w:sz="0" w:space="0" w:color="auto"/>
            <w:bottom w:val="none" w:sz="0" w:space="0" w:color="auto"/>
            <w:right w:val="none" w:sz="0" w:space="0" w:color="auto"/>
          </w:divBdr>
        </w:div>
        <w:div w:id="498618578">
          <w:marLeft w:val="994"/>
          <w:marRight w:val="0"/>
          <w:marTop w:val="0"/>
          <w:marBottom w:val="0"/>
          <w:divBdr>
            <w:top w:val="none" w:sz="0" w:space="0" w:color="auto"/>
            <w:left w:val="none" w:sz="0" w:space="0" w:color="auto"/>
            <w:bottom w:val="none" w:sz="0" w:space="0" w:color="auto"/>
            <w:right w:val="none" w:sz="0" w:space="0" w:color="auto"/>
          </w:divBdr>
        </w:div>
        <w:div w:id="490608114">
          <w:marLeft w:val="994"/>
          <w:marRight w:val="0"/>
          <w:marTop w:val="0"/>
          <w:marBottom w:val="0"/>
          <w:divBdr>
            <w:top w:val="none" w:sz="0" w:space="0" w:color="auto"/>
            <w:left w:val="none" w:sz="0" w:space="0" w:color="auto"/>
            <w:bottom w:val="none" w:sz="0" w:space="0" w:color="auto"/>
            <w:right w:val="none" w:sz="0" w:space="0" w:color="auto"/>
          </w:divBdr>
        </w:div>
        <w:div w:id="944384757">
          <w:marLeft w:val="994"/>
          <w:marRight w:val="0"/>
          <w:marTop w:val="0"/>
          <w:marBottom w:val="0"/>
          <w:divBdr>
            <w:top w:val="none" w:sz="0" w:space="0" w:color="auto"/>
            <w:left w:val="none" w:sz="0" w:space="0" w:color="auto"/>
            <w:bottom w:val="none" w:sz="0" w:space="0" w:color="auto"/>
            <w:right w:val="none" w:sz="0" w:space="0" w:color="auto"/>
          </w:divBdr>
        </w:div>
        <w:div w:id="1949462559">
          <w:marLeft w:val="274"/>
          <w:marRight w:val="0"/>
          <w:marTop w:val="0"/>
          <w:marBottom w:val="0"/>
          <w:divBdr>
            <w:top w:val="none" w:sz="0" w:space="0" w:color="auto"/>
            <w:left w:val="none" w:sz="0" w:space="0" w:color="auto"/>
            <w:bottom w:val="none" w:sz="0" w:space="0" w:color="auto"/>
            <w:right w:val="none" w:sz="0" w:space="0" w:color="auto"/>
          </w:divBdr>
        </w:div>
        <w:div w:id="1284580337">
          <w:marLeft w:val="274"/>
          <w:marRight w:val="0"/>
          <w:marTop w:val="0"/>
          <w:marBottom w:val="0"/>
          <w:divBdr>
            <w:top w:val="none" w:sz="0" w:space="0" w:color="auto"/>
            <w:left w:val="none" w:sz="0" w:space="0" w:color="auto"/>
            <w:bottom w:val="none" w:sz="0" w:space="0" w:color="auto"/>
            <w:right w:val="none" w:sz="0" w:space="0" w:color="auto"/>
          </w:divBdr>
        </w:div>
        <w:div w:id="1454985215">
          <w:marLeft w:val="274"/>
          <w:marRight w:val="0"/>
          <w:marTop w:val="0"/>
          <w:marBottom w:val="0"/>
          <w:divBdr>
            <w:top w:val="none" w:sz="0" w:space="0" w:color="auto"/>
            <w:left w:val="none" w:sz="0" w:space="0" w:color="auto"/>
            <w:bottom w:val="none" w:sz="0" w:space="0" w:color="auto"/>
            <w:right w:val="none" w:sz="0" w:space="0" w:color="auto"/>
          </w:divBdr>
        </w:div>
      </w:divsChild>
    </w:div>
    <w:div w:id="248661294">
      <w:bodyDiv w:val="1"/>
      <w:marLeft w:val="0"/>
      <w:marRight w:val="0"/>
      <w:marTop w:val="0"/>
      <w:marBottom w:val="0"/>
      <w:divBdr>
        <w:top w:val="none" w:sz="0" w:space="0" w:color="auto"/>
        <w:left w:val="none" w:sz="0" w:space="0" w:color="auto"/>
        <w:bottom w:val="none" w:sz="0" w:space="0" w:color="auto"/>
        <w:right w:val="none" w:sz="0" w:space="0" w:color="auto"/>
      </w:divBdr>
      <w:divsChild>
        <w:div w:id="912852536">
          <w:marLeft w:val="274"/>
          <w:marRight w:val="0"/>
          <w:marTop w:val="0"/>
          <w:marBottom w:val="0"/>
          <w:divBdr>
            <w:top w:val="none" w:sz="0" w:space="0" w:color="auto"/>
            <w:left w:val="none" w:sz="0" w:space="0" w:color="auto"/>
            <w:bottom w:val="none" w:sz="0" w:space="0" w:color="auto"/>
            <w:right w:val="none" w:sz="0" w:space="0" w:color="auto"/>
          </w:divBdr>
        </w:div>
      </w:divsChild>
    </w:div>
    <w:div w:id="307318879">
      <w:bodyDiv w:val="1"/>
      <w:marLeft w:val="0"/>
      <w:marRight w:val="0"/>
      <w:marTop w:val="0"/>
      <w:marBottom w:val="0"/>
      <w:divBdr>
        <w:top w:val="none" w:sz="0" w:space="0" w:color="auto"/>
        <w:left w:val="none" w:sz="0" w:space="0" w:color="auto"/>
        <w:bottom w:val="none" w:sz="0" w:space="0" w:color="auto"/>
        <w:right w:val="none" w:sz="0" w:space="0" w:color="auto"/>
      </w:divBdr>
      <w:divsChild>
        <w:div w:id="486366809">
          <w:marLeft w:val="274"/>
          <w:marRight w:val="0"/>
          <w:marTop w:val="0"/>
          <w:marBottom w:val="0"/>
          <w:divBdr>
            <w:top w:val="none" w:sz="0" w:space="0" w:color="auto"/>
            <w:left w:val="none" w:sz="0" w:space="0" w:color="auto"/>
            <w:bottom w:val="none" w:sz="0" w:space="0" w:color="auto"/>
            <w:right w:val="none" w:sz="0" w:space="0" w:color="auto"/>
          </w:divBdr>
        </w:div>
        <w:div w:id="1231887180">
          <w:marLeft w:val="274"/>
          <w:marRight w:val="0"/>
          <w:marTop w:val="0"/>
          <w:marBottom w:val="0"/>
          <w:divBdr>
            <w:top w:val="none" w:sz="0" w:space="0" w:color="auto"/>
            <w:left w:val="none" w:sz="0" w:space="0" w:color="auto"/>
            <w:bottom w:val="none" w:sz="0" w:space="0" w:color="auto"/>
            <w:right w:val="none" w:sz="0" w:space="0" w:color="auto"/>
          </w:divBdr>
        </w:div>
        <w:div w:id="1493374356">
          <w:marLeft w:val="274"/>
          <w:marRight w:val="0"/>
          <w:marTop w:val="0"/>
          <w:marBottom w:val="0"/>
          <w:divBdr>
            <w:top w:val="none" w:sz="0" w:space="0" w:color="auto"/>
            <w:left w:val="none" w:sz="0" w:space="0" w:color="auto"/>
            <w:bottom w:val="none" w:sz="0" w:space="0" w:color="auto"/>
            <w:right w:val="none" w:sz="0" w:space="0" w:color="auto"/>
          </w:divBdr>
        </w:div>
        <w:div w:id="1115173232">
          <w:marLeft w:val="274"/>
          <w:marRight w:val="0"/>
          <w:marTop w:val="0"/>
          <w:marBottom w:val="0"/>
          <w:divBdr>
            <w:top w:val="none" w:sz="0" w:space="0" w:color="auto"/>
            <w:left w:val="none" w:sz="0" w:space="0" w:color="auto"/>
            <w:bottom w:val="none" w:sz="0" w:space="0" w:color="auto"/>
            <w:right w:val="none" w:sz="0" w:space="0" w:color="auto"/>
          </w:divBdr>
        </w:div>
        <w:div w:id="1879125378">
          <w:marLeft w:val="274"/>
          <w:marRight w:val="0"/>
          <w:marTop w:val="0"/>
          <w:marBottom w:val="0"/>
          <w:divBdr>
            <w:top w:val="none" w:sz="0" w:space="0" w:color="auto"/>
            <w:left w:val="none" w:sz="0" w:space="0" w:color="auto"/>
            <w:bottom w:val="none" w:sz="0" w:space="0" w:color="auto"/>
            <w:right w:val="none" w:sz="0" w:space="0" w:color="auto"/>
          </w:divBdr>
        </w:div>
        <w:div w:id="227615433">
          <w:marLeft w:val="274"/>
          <w:marRight w:val="0"/>
          <w:marTop w:val="0"/>
          <w:marBottom w:val="0"/>
          <w:divBdr>
            <w:top w:val="none" w:sz="0" w:space="0" w:color="auto"/>
            <w:left w:val="none" w:sz="0" w:space="0" w:color="auto"/>
            <w:bottom w:val="none" w:sz="0" w:space="0" w:color="auto"/>
            <w:right w:val="none" w:sz="0" w:space="0" w:color="auto"/>
          </w:divBdr>
        </w:div>
      </w:divsChild>
    </w:div>
    <w:div w:id="338166065">
      <w:bodyDiv w:val="1"/>
      <w:marLeft w:val="0"/>
      <w:marRight w:val="0"/>
      <w:marTop w:val="0"/>
      <w:marBottom w:val="0"/>
      <w:divBdr>
        <w:top w:val="none" w:sz="0" w:space="0" w:color="auto"/>
        <w:left w:val="none" w:sz="0" w:space="0" w:color="auto"/>
        <w:bottom w:val="none" w:sz="0" w:space="0" w:color="auto"/>
        <w:right w:val="none" w:sz="0" w:space="0" w:color="auto"/>
      </w:divBdr>
      <w:divsChild>
        <w:div w:id="592860122">
          <w:marLeft w:val="274"/>
          <w:marRight w:val="0"/>
          <w:marTop w:val="0"/>
          <w:marBottom w:val="0"/>
          <w:divBdr>
            <w:top w:val="none" w:sz="0" w:space="0" w:color="auto"/>
            <w:left w:val="none" w:sz="0" w:space="0" w:color="auto"/>
            <w:bottom w:val="none" w:sz="0" w:space="0" w:color="auto"/>
            <w:right w:val="none" w:sz="0" w:space="0" w:color="auto"/>
          </w:divBdr>
        </w:div>
        <w:div w:id="95102214">
          <w:marLeft w:val="274"/>
          <w:marRight w:val="0"/>
          <w:marTop w:val="0"/>
          <w:marBottom w:val="0"/>
          <w:divBdr>
            <w:top w:val="none" w:sz="0" w:space="0" w:color="auto"/>
            <w:left w:val="none" w:sz="0" w:space="0" w:color="auto"/>
            <w:bottom w:val="none" w:sz="0" w:space="0" w:color="auto"/>
            <w:right w:val="none" w:sz="0" w:space="0" w:color="auto"/>
          </w:divBdr>
        </w:div>
        <w:div w:id="300891406">
          <w:marLeft w:val="274"/>
          <w:marRight w:val="0"/>
          <w:marTop w:val="0"/>
          <w:marBottom w:val="0"/>
          <w:divBdr>
            <w:top w:val="none" w:sz="0" w:space="0" w:color="auto"/>
            <w:left w:val="none" w:sz="0" w:space="0" w:color="auto"/>
            <w:bottom w:val="none" w:sz="0" w:space="0" w:color="auto"/>
            <w:right w:val="none" w:sz="0" w:space="0" w:color="auto"/>
          </w:divBdr>
        </w:div>
        <w:div w:id="798497100">
          <w:marLeft w:val="274"/>
          <w:marRight w:val="0"/>
          <w:marTop w:val="0"/>
          <w:marBottom w:val="0"/>
          <w:divBdr>
            <w:top w:val="none" w:sz="0" w:space="0" w:color="auto"/>
            <w:left w:val="none" w:sz="0" w:space="0" w:color="auto"/>
            <w:bottom w:val="none" w:sz="0" w:space="0" w:color="auto"/>
            <w:right w:val="none" w:sz="0" w:space="0" w:color="auto"/>
          </w:divBdr>
        </w:div>
        <w:div w:id="1832939095">
          <w:marLeft w:val="274"/>
          <w:marRight w:val="0"/>
          <w:marTop w:val="0"/>
          <w:marBottom w:val="0"/>
          <w:divBdr>
            <w:top w:val="none" w:sz="0" w:space="0" w:color="auto"/>
            <w:left w:val="none" w:sz="0" w:space="0" w:color="auto"/>
            <w:bottom w:val="none" w:sz="0" w:space="0" w:color="auto"/>
            <w:right w:val="none" w:sz="0" w:space="0" w:color="auto"/>
          </w:divBdr>
        </w:div>
        <w:div w:id="1000740690">
          <w:marLeft w:val="274"/>
          <w:marRight w:val="0"/>
          <w:marTop w:val="0"/>
          <w:marBottom w:val="0"/>
          <w:divBdr>
            <w:top w:val="none" w:sz="0" w:space="0" w:color="auto"/>
            <w:left w:val="none" w:sz="0" w:space="0" w:color="auto"/>
            <w:bottom w:val="none" w:sz="0" w:space="0" w:color="auto"/>
            <w:right w:val="none" w:sz="0" w:space="0" w:color="auto"/>
          </w:divBdr>
        </w:div>
        <w:div w:id="1635402543">
          <w:marLeft w:val="274"/>
          <w:marRight w:val="0"/>
          <w:marTop w:val="0"/>
          <w:marBottom w:val="0"/>
          <w:divBdr>
            <w:top w:val="none" w:sz="0" w:space="0" w:color="auto"/>
            <w:left w:val="none" w:sz="0" w:space="0" w:color="auto"/>
            <w:bottom w:val="none" w:sz="0" w:space="0" w:color="auto"/>
            <w:right w:val="none" w:sz="0" w:space="0" w:color="auto"/>
          </w:divBdr>
        </w:div>
        <w:div w:id="371536106">
          <w:marLeft w:val="274"/>
          <w:marRight w:val="0"/>
          <w:marTop w:val="0"/>
          <w:marBottom w:val="0"/>
          <w:divBdr>
            <w:top w:val="none" w:sz="0" w:space="0" w:color="auto"/>
            <w:left w:val="none" w:sz="0" w:space="0" w:color="auto"/>
            <w:bottom w:val="none" w:sz="0" w:space="0" w:color="auto"/>
            <w:right w:val="none" w:sz="0" w:space="0" w:color="auto"/>
          </w:divBdr>
        </w:div>
      </w:divsChild>
    </w:div>
    <w:div w:id="435755402">
      <w:bodyDiv w:val="1"/>
      <w:marLeft w:val="0"/>
      <w:marRight w:val="0"/>
      <w:marTop w:val="0"/>
      <w:marBottom w:val="0"/>
      <w:divBdr>
        <w:top w:val="none" w:sz="0" w:space="0" w:color="auto"/>
        <w:left w:val="none" w:sz="0" w:space="0" w:color="auto"/>
        <w:bottom w:val="none" w:sz="0" w:space="0" w:color="auto"/>
        <w:right w:val="none" w:sz="0" w:space="0" w:color="auto"/>
      </w:divBdr>
      <w:divsChild>
        <w:div w:id="1396004095">
          <w:marLeft w:val="274"/>
          <w:marRight w:val="0"/>
          <w:marTop w:val="0"/>
          <w:marBottom w:val="0"/>
          <w:divBdr>
            <w:top w:val="none" w:sz="0" w:space="0" w:color="auto"/>
            <w:left w:val="none" w:sz="0" w:space="0" w:color="auto"/>
            <w:bottom w:val="none" w:sz="0" w:space="0" w:color="auto"/>
            <w:right w:val="none" w:sz="0" w:space="0" w:color="auto"/>
          </w:divBdr>
        </w:div>
        <w:div w:id="1258904227">
          <w:marLeft w:val="274"/>
          <w:marRight w:val="0"/>
          <w:marTop w:val="0"/>
          <w:marBottom w:val="0"/>
          <w:divBdr>
            <w:top w:val="none" w:sz="0" w:space="0" w:color="auto"/>
            <w:left w:val="none" w:sz="0" w:space="0" w:color="auto"/>
            <w:bottom w:val="none" w:sz="0" w:space="0" w:color="auto"/>
            <w:right w:val="none" w:sz="0" w:space="0" w:color="auto"/>
          </w:divBdr>
        </w:div>
        <w:div w:id="84035669">
          <w:marLeft w:val="274"/>
          <w:marRight w:val="0"/>
          <w:marTop w:val="0"/>
          <w:marBottom w:val="0"/>
          <w:divBdr>
            <w:top w:val="none" w:sz="0" w:space="0" w:color="auto"/>
            <w:left w:val="none" w:sz="0" w:space="0" w:color="auto"/>
            <w:bottom w:val="none" w:sz="0" w:space="0" w:color="auto"/>
            <w:right w:val="none" w:sz="0" w:space="0" w:color="auto"/>
          </w:divBdr>
        </w:div>
        <w:div w:id="1872768336">
          <w:marLeft w:val="274"/>
          <w:marRight w:val="0"/>
          <w:marTop w:val="0"/>
          <w:marBottom w:val="0"/>
          <w:divBdr>
            <w:top w:val="none" w:sz="0" w:space="0" w:color="auto"/>
            <w:left w:val="none" w:sz="0" w:space="0" w:color="auto"/>
            <w:bottom w:val="none" w:sz="0" w:space="0" w:color="auto"/>
            <w:right w:val="none" w:sz="0" w:space="0" w:color="auto"/>
          </w:divBdr>
        </w:div>
        <w:div w:id="1427656500">
          <w:marLeft w:val="274"/>
          <w:marRight w:val="0"/>
          <w:marTop w:val="0"/>
          <w:marBottom w:val="0"/>
          <w:divBdr>
            <w:top w:val="none" w:sz="0" w:space="0" w:color="auto"/>
            <w:left w:val="none" w:sz="0" w:space="0" w:color="auto"/>
            <w:bottom w:val="none" w:sz="0" w:space="0" w:color="auto"/>
            <w:right w:val="none" w:sz="0" w:space="0" w:color="auto"/>
          </w:divBdr>
        </w:div>
      </w:divsChild>
    </w:div>
    <w:div w:id="437796850">
      <w:bodyDiv w:val="1"/>
      <w:marLeft w:val="0"/>
      <w:marRight w:val="0"/>
      <w:marTop w:val="0"/>
      <w:marBottom w:val="0"/>
      <w:divBdr>
        <w:top w:val="none" w:sz="0" w:space="0" w:color="auto"/>
        <w:left w:val="none" w:sz="0" w:space="0" w:color="auto"/>
        <w:bottom w:val="none" w:sz="0" w:space="0" w:color="auto"/>
        <w:right w:val="none" w:sz="0" w:space="0" w:color="auto"/>
      </w:divBdr>
      <w:divsChild>
        <w:div w:id="1090544668">
          <w:marLeft w:val="446"/>
          <w:marRight w:val="0"/>
          <w:marTop w:val="0"/>
          <w:marBottom w:val="0"/>
          <w:divBdr>
            <w:top w:val="none" w:sz="0" w:space="0" w:color="auto"/>
            <w:left w:val="none" w:sz="0" w:space="0" w:color="auto"/>
            <w:bottom w:val="none" w:sz="0" w:space="0" w:color="auto"/>
            <w:right w:val="none" w:sz="0" w:space="0" w:color="auto"/>
          </w:divBdr>
        </w:div>
      </w:divsChild>
    </w:div>
    <w:div w:id="775179651">
      <w:bodyDiv w:val="1"/>
      <w:marLeft w:val="0"/>
      <w:marRight w:val="0"/>
      <w:marTop w:val="0"/>
      <w:marBottom w:val="0"/>
      <w:divBdr>
        <w:top w:val="none" w:sz="0" w:space="0" w:color="auto"/>
        <w:left w:val="none" w:sz="0" w:space="0" w:color="auto"/>
        <w:bottom w:val="none" w:sz="0" w:space="0" w:color="auto"/>
        <w:right w:val="none" w:sz="0" w:space="0" w:color="auto"/>
      </w:divBdr>
      <w:divsChild>
        <w:div w:id="1655178705">
          <w:marLeft w:val="360"/>
          <w:marRight w:val="0"/>
          <w:marTop w:val="200"/>
          <w:marBottom w:val="0"/>
          <w:divBdr>
            <w:top w:val="none" w:sz="0" w:space="0" w:color="auto"/>
            <w:left w:val="none" w:sz="0" w:space="0" w:color="auto"/>
            <w:bottom w:val="none" w:sz="0" w:space="0" w:color="auto"/>
            <w:right w:val="none" w:sz="0" w:space="0" w:color="auto"/>
          </w:divBdr>
        </w:div>
      </w:divsChild>
    </w:div>
    <w:div w:id="906694904">
      <w:bodyDiv w:val="1"/>
      <w:marLeft w:val="0"/>
      <w:marRight w:val="0"/>
      <w:marTop w:val="0"/>
      <w:marBottom w:val="0"/>
      <w:divBdr>
        <w:top w:val="none" w:sz="0" w:space="0" w:color="auto"/>
        <w:left w:val="none" w:sz="0" w:space="0" w:color="auto"/>
        <w:bottom w:val="none" w:sz="0" w:space="0" w:color="auto"/>
        <w:right w:val="none" w:sz="0" w:space="0" w:color="auto"/>
      </w:divBdr>
    </w:div>
    <w:div w:id="976301881">
      <w:bodyDiv w:val="1"/>
      <w:marLeft w:val="0"/>
      <w:marRight w:val="0"/>
      <w:marTop w:val="0"/>
      <w:marBottom w:val="0"/>
      <w:divBdr>
        <w:top w:val="none" w:sz="0" w:space="0" w:color="auto"/>
        <w:left w:val="none" w:sz="0" w:space="0" w:color="auto"/>
        <w:bottom w:val="none" w:sz="0" w:space="0" w:color="auto"/>
        <w:right w:val="none" w:sz="0" w:space="0" w:color="auto"/>
      </w:divBdr>
    </w:div>
    <w:div w:id="1338001708">
      <w:bodyDiv w:val="1"/>
      <w:marLeft w:val="0"/>
      <w:marRight w:val="0"/>
      <w:marTop w:val="0"/>
      <w:marBottom w:val="0"/>
      <w:divBdr>
        <w:top w:val="none" w:sz="0" w:space="0" w:color="auto"/>
        <w:left w:val="none" w:sz="0" w:space="0" w:color="auto"/>
        <w:bottom w:val="none" w:sz="0" w:space="0" w:color="auto"/>
        <w:right w:val="none" w:sz="0" w:space="0" w:color="auto"/>
      </w:divBdr>
      <w:divsChild>
        <w:div w:id="1282299772">
          <w:marLeft w:val="274"/>
          <w:marRight w:val="0"/>
          <w:marTop w:val="0"/>
          <w:marBottom w:val="0"/>
          <w:divBdr>
            <w:top w:val="none" w:sz="0" w:space="0" w:color="auto"/>
            <w:left w:val="none" w:sz="0" w:space="0" w:color="auto"/>
            <w:bottom w:val="none" w:sz="0" w:space="0" w:color="auto"/>
            <w:right w:val="none" w:sz="0" w:space="0" w:color="auto"/>
          </w:divBdr>
        </w:div>
        <w:div w:id="492988929">
          <w:marLeft w:val="274"/>
          <w:marRight w:val="0"/>
          <w:marTop w:val="0"/>
          <w:marBottom w:val="0"/>
          <w:divBdr>
            <w:top w:val="none" w:sz="0" w:space="0" w:color="auto"/>
            <w:left w:val="none" w:sz="0" w:space="0" w:color="auto"/>
            <w:bottom w:val="none" w:sz="0" w:space="0" w:color="auto"/>
            <w:right w:val="none" w:sz="0" w:space="0" w:color="auto"/>
          </w:divBdr>
        </w:div>
        <w:div w:id="657272543">
          <w:marLeft w:val="274"/>
          <w:marRight w:val="0"/>
          <w:marTop w:val="0"/>
          <w:marBottom w:val="0"/>
          <w:divBdr>
            <w:top w:val="none" w:sz="0" w:space="0" w:color="auto"/>
            <w:left w:val="none" w:sz="0" w:space="0" w:color="auto"/>
            <w:bottom w:val="none" w:sz="0" w:space="0" w:color="auto"/>
            <w:right w:val="none" w:sz="0" w:space="0" w:color="auto"/>
          </w:divBdr>
        </w:div>
        <w:div w:id="1860972679">
          <w:marLeft w:val="446"/>
          <w:marRight w:val="0"/>
          <w:marTop w:val="0"/>
          <w:marBottom w:val="0"/>
          <w:divBdr>
            <w:top w:val="none" w:sz="0" w:space="0" w:color="auto"/>
            <w:left w:val="none" w:sz="0" w:space="0" w:color="auto"/>
            <w:bottom w:val="none" w:sz="0" w:space="0" w:color="auto"/>
            <w:right w:val="none" w:sz="0" w:space="0" w:color="auto"/>
          </w:divBdr>
        </w:div>
        <w:div w:id="1888909926">
          <w:marLeft w:val="446"/>
          <w:marRight w:val="0"/>
          <w:marTop w:val="0"/>
          <w:marBottom w:val="0"/>
          <w:divBdr>
            <w:top w:val="none" w:sz="0" w:space="0" w:color="auto"/>
            <w:left w:val="none" w:sz="0" w:space="0" w:color="auto"/>
            <w:bottom w:val="none" w:sz="0" w:space="0" w:color="auto"/>
            <w:right w:val="none" w:sz="0" w:space="0" w:color="auto"/>
          </w:divBdr>
        </w:div>
      </w:divsChild>
    </w:div>
    <w:div w:id="1662583195">
      <w:bodyDiv w:val="1"/>
      <w:marLeft w:val="0"/>
      <w:marRight w:val="0"/>
      <w:marTop w:val="0"/>
      <w:marBottom w:val="0"/>
      <w:divBdr>
        <w:top w:val="none" w:sz="0" w:space="0" w:color="auto"/>
        <w:left w:val="none" w:sz="0" w:space="0" w:color="auto"/>
        <w:bottom w:val="none" w:sz="0" w:space="0" w:color="auto"/>
        <w:right w:val="none" w:sz="0" w:space="0" w:color="auto"/>
      </w:divBdr>
      <w:divsChild>
        <w:div w:id="1459570862">
          <w:marLeft w:val="360"/>
          <w:marRight w:val="0"/>
          <w:marTop w:val="200"/>
          <w:marBottom w:val="0"/>
          <w:divBdr>
            <w:top w:val="none" w:sz="0" w:space="0" w:color="auto"/>
            <w:left w:val="none" w:sz="0" w:space="0" w:color="auto"/>
            <w:bottom w:val="none" w:sz="0" w:space="0" w:color="auto"/>
            <w:right w:val="none" w:sz="0" w:space="0" w:color="auto"/>
          </w:divBdr>
        </w:div>
      </w:divsChild>
    </w:div>
    <w:div w:id="206316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hyperlink" Target="mailto:sfovpost@statsforvalteren.no" TargetMode="External"/><Relationship Id="rId1" Type="http://schemas.openxmlformats.org/officeDocument/2006/relationships/hyperlink" Target="mailto:sfovpost@statsforvalteren.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moafbu\Downloads\sfov-rapport-elementer-bla%20(1).dotx" TargetMode="External"/></Relationships>
</file>

<file path=word/theme/theme1.xml><?xml version="1.0" encoding="utf-8"?>
<a:theme xmlns:a="http://schemas.openxmlformats.org/drawingml/2006/main" name="Office-tema">
  <a:themeElements>
    <a:clrScheme name="FMOV">
      <a:dk1>
        <a:sysClr val="windowText" lastClr="000000"/>
      </a:dk1>
      <a:lt1>
        <a:sysClr val="window" lastClr="FFFFFF"/>
      </a:lt1>
      <a:dk2>
        <a:srgbClr val="43545F"/>
      </a:dk2>
      <a:lt2>
        <a:srgbClr val="EFF0EF"/>
      </a:lt2>
      <a:accent1>
        <a:srgbClr val="00244E"/>
      </a:accent1>
      <a:accent2>
        <a:srgbClr val="4C76BA"/>
      </a:accent2>
      <a:accent3>
        <a:srgbClr val="00ADBA"/>
      </a:accent3>
      <a:accent4>
        <a:srgbClr val="BFC2C0"/>
      </a:accent4>
      <a:accent5>
        <a:srgbClr val="F39200"/>
      </a:accent5>
      <a:accent6>
        <a:srgbClr val="C90B1C"/>
      </a:accent6>
      <a:hlink>
        <a:srgbClr val="4C76BA"/>
      </a:hlink>
      <a:folHlink>
        <a:srgbClr val="C90B1C"/>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0FDE60-C915-4734-A874-CC4399175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sfov-rapport-elementer-bla (1)</Template>
  <TotalTime>705</TotalTime>
  <Pages>20</Pages>
  <Words>4771</Words>
  <Characters>25288</Characters>
  <Application>Microsoft Office Word</Application>
  <DocSecurity>0</DocSecurity>
  <Lines>210</Lines>
  <Paragraphs>59</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30000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Butt, Fakra</dc:creator>
  <cp:lastModifiedBy>Butt, Fakra</cp:lastModifiedBy>
  <cp:revision>22</cp:revision>
  <cp:lastPrinted>2019-01-22T13:39:00Z</cp:lastPrinted>
  <dcterms:created xsi:type="dcterms:W3CDTF">2021-09-27T07:35:00Z</dcterms:created>
  <dcterms:modified xsi:type="dcterms:W3CDTF">2021-10-13T13:03:00Z</dcterms:modified>
</cp:coreProperties>
</file>