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F666C" w14:textId="77777777" w:rsidR="00F867F0" w:rsidRPr="00490FA8" w:rsidRDefault="00F867F0" w:rsidP="00F867F0">
      <w:pPr>
        <w:spacing w:after="0" w:line="240" w:lineRule="auto"/>
        <w:jc w:val="right"/>
        <w:rPr>
          <w:rFonts w:ascii="Open Sans" w:hAnsi="Open Sans" w:cs="Open Sans"/>
          <w:color w:val="FF0000"/>
          <w:sz w:val="20"/>
          <w:szCs w:val="20"/>
        </w:rPr>
      </w:pPr>
      <w:r w:rsidRPr="00490FA8">
        <w:rPr>
          <w:rFonts w:ascii="Open Sans" w:hAnsi="Open Sans" w:cs="Open Sans"/>
          <w:noProof/>
          <w:color w:val="FF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1AD322E" wp14:editId="0EA537F8">
            <wp:simplePos x="0" y="0"/>
            <wp:positionH relativeFrom="margin">
              <wp:posOffset>-160655</wp:posOffset>
            </wp:positionH>
            <wp:positionV relativeFrom="paragraph">
              <wp:posOffset>-480695</wp:posOffset>
            </wp:positionV>
            <wp:extent cx="2552700" cy="773265"/>
            <wp:effectExtent l="0" t="0" r="0" b="0"/>
            <wp:wrapNone/>
            <wp:docPr id="1" name="Bilde 1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natthimme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258" cy="77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9248F" w14:textId="77777777" w:rsidR="00F867F0" w:rsidRPr="00490FA8" w:rsidRDefault="00F867F0" w:rsidP="00F867F0">
      <w:pPr>
        <w:spacing w:after="0" w:line="240" w:lineRule="auto"/>
        <w:rPr>
          <w:rFonts w:ascii="Open Sans" w:hAnsi="Open Sans" w:cs="Open Sans"/>
          <w:color w:val="FF0000"/>
          <w:sz w:val="20"/>
          <w:szCs w:val="20"/>
        </w:rPr>
      </w:pPr>
    </w:p>
    <w:p w14:paraId="3D1C6E4C" w14:textId="77777777" w:rsidR="00F867F0" w:rsidRPr="00490FA8" w:rsidRDefault="00F867F0" w:rsidP="00F867F0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6C02644" w14:textId="77777777" w:rsidR="00F867F0" w:rsidRPr="008B35AA" w:rsidRDefault="00F867F0" w:rsidP="00F867F0">
      <w:pPr>
        <w:pStyle w:val="Sterktsitat"/>
        <w:spacing w:before="0" w:after="0" w:line="240" w:lineRule="auto"/>
        <w:rPr>
          <w:rFonts w:ascii="Open Sans" w:hAnsi="Open Sans" w:cs="Open Sans"/>
          <w:sz w:val="30"/>
          <w:szCs w:val="30"/>
        </w:rPr>
      </w:pPr>
      <w:r w:rsidRPr="008B35AA">
        <w:rPr>
          <w:rFonts w:ascii="Open Sans" w:hAnsi="Open Sans" w:cs="Open Sans"/>
          <w:sz w:val="30"/>
          <w:szCs w:val="30"/>
        </w:rPr>
        <w:t>Møte i samarbeidsforum Dekom</w:t>
      </w:r>
    </w:p>
    <w:p w14:paraId="1488AB37" w14:textId="77777777" w:rsidR="00F867F0" w:rsidRPr="00CB4F0B" w:rsidRDefault="00F867F0" w:rsidP="00F867F0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pPr w:leftFromText="141" w:rightFromText="141" w:vertAnchor="text" w:horzAnchor="page" w:tblpX="957" w:tblpY="119"/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2976"/>
        <w:gridCol w:w="2552"/>
      </w:tblGrid>
      <w:tr w:rsidR="00F867F0" w:rsidRPr="00CB4F0B" w14:paraId="7AD74BD5" w14:textId="77777777" w:rsidTr="00416F8E">
        <w:trPr>
          <w:trHeight w:val="1346"/>
        </w:trPr>
        <w:tc>
          <w:tcPr>
            <w:tcW w:w="4390" w:type="dxa"/>
          </w:tcPr>
          <w:p w14:paraId="5A1D0C69" w14:textId="77777777" w:rsidR="00F867F0" w:rsidRPr="00C924F6" w:rsidRDefault="00F867F0" w:rsidP="00416F8E">
            <w:pPr>
              <w:rPr>
                <w:rFonts w:ascii="Open Sans" w:hAnsi="Open Sans" w:cs="Open Sans"/>
                <w:sz w:val="20"/>
                <w:szCs w:val="20"/>
              </w:rPr>
            </w:pPr>
            <w:r w:rsidRPr="00C924F6">
              <w:rPr>
                <w:rFonts w:ascii="Open Sans" w:hAnsi="Open Sans" w:cs="Open Sans"/>
                <w:sz w:val="20"/>
                <w:szCs w:val="20"/>
              </w:rPr>
              <w:t>Til stede:</w:t>
            </w:r>
          </w:p>
          <w:p w14:paraId="2771F129" w14:textId="77777777" w:rsidR="00F867F0" w:rsidRPr="00C924F6" w:rsidRDefault="00F867F0" w:rsidP="00416F8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93D83A4" w14:textId="18C9B4C4" w:rsidR="00F867F0" w:rsidRPr="00C924F6" w:rsidRDefault="00F867F0" w:rsidP="00416F8E">
            <w:pPr>
              <w:rPr>
                <w:rFonts w:ascii="Open Sans" w:hAnsi="Open Sans" w:cs="Open Sans"/>
                <w:sz w:val="20"/>
                <w:szCs w:val="20"/>
              </w:rPr>
            </w:pPr>
            <w:r w:rsidRPr="00C924F6">
              <w:rPr>
                <w:rFonts w:ascii="Open Sans" w:hAnsi="Open Sans" w:cs="Open Sans"/>
                <w:sz w:val="20"/>
                <w:szCs w:val="20"/>
              </w:rPr>
              <w:t xml:space="preserve">Hilde Lein, Utdanningsforbundet </w:t>
            </w:r>
          </w:p>
          <w:p w14:paraId="27F00AF0" w14:textId="7C8AA776" w:rsidR="00F867F0" w:rsidRPr="00C924F6" w:rsidRDefault="00132DE8" w:rsidP="00416F8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Janne Uthus</w:t>
            </w:r>
            <w:r w:rsidR="00F867F0" w:rsidRPr="00C924F6">
              <w:rPr>
                <w:rFonts w:ascii="Open Sans" w:hAnsi="Open Sans" w:cs="Open Sans"/>
                <w:sz w:val="20"/>
                <w:szCs w:val="20"/>
              </w:rPr>
              <w:t>, Værnes</w:t>
            </w:r>
          </w:p>
          <w:p w14:paraId="3EE0634B" w14:textId="77777777" w:rsidR="00F867F0" w:rsidRPr="00C924F6" w:rsidRDefault="00F867F0" w:rsidP="00416F8E">
            <w:pPr>
              <w:rPr>
                <w:rFonts w:ascii="Open Sans" w:hAnsi="Open Sans" w:cs="Open Sans"/>
                <w:sz w:val="20"/>
                <w:szCs w:val="20"/>
              </w:rPr>
            </w:pPr>
            <w:r w:rsidRPr="00C924F6">
              <w:rPr>
                <w:rFonts w:ascii="Open Sans" w:hAnsi="Open Sans" w:cs="Open Sans"/>
                <w:sz w:val="20"/>
                <w:szCs w:val="20"/>
              </w:rPr>
              <w:t>Birgit Bremer Mejdal, Verdal/Levanger</w:t>
            </w:r>
          </w:p>
          <w:p w14:paraId="414E0060" w14:textId="77777777" w:rsidR="00F867F0" w:rsidRPr="00C924F6" w:rsidRDefault="00F867F0" w:rsidP="00416F8E">
            <w:pPr>
              <w:rPr>
                <w:rFonts w:ascii="Open Sans" w:hAnsi="Open Sans" w:cs="Open Sans"/>
                <w:sz w:val="20"/>
                <w:szCs w:val="20"/>
              </w:rPr>
            </w:pPr>
            <w:r w:rsidRPr="00C924F6">
              <w:rPr>
                <w:rFonts w:ascii="Open Sans" w:hAnsi="Open Sans" w:cs="Open Sans"/>
                <w:sz w:val="20"/>
                <w:szCs w:val="20"/>
              </w:rPr>
              <w:t>Mikael Lyngstad, Trondheim/Malvik</w:t>
            </w:r>
          </w:p>
          <w:p w14:paraId="68712B54" w14:textId="24962117" w:rsidR="00F867F0" w:rsidRPr="008B362D" w:rsidRDefault="00F867F0" w:rsidP="00416F8E">
            <w:pPr>
              <w:rPr>
                <w:rFonts w:ascii="Open Sans" w:hAnsi="Open Sans" w:cs="Open Sans"/>
                <w:sz w:val="20"/>
                <w:szCs w:val="20"/>
              </w:rPr>
            </w:pPr>
            <w:r w:rsidRPr="00C924F6">
              <w:rPr>
                <w:rFonts w:ascii="Open Sans" w:hAnsi="Open Sans" w:cs="Open Sans"/>
                <w:sz w:val="20"/>
                <w:szCs w:val="20"/>
              </w:rPr>
              <w:t>Fredrik Steinsvik, Indre Namdal</w:t>
            </w:r>
            <w:r w:rsidRPr="00C924F6">
              <w:rPr>
                <w:rFonts w:ascii="Open Sans" w:hAnsi="Open Sans" w:cs="Open Sans"/>
                <w:sz w:val="20"/>
                <w:szCs w:val="20"/>
              </w:rPr>
              <w:br/>
              <w:t>Reidun Dypaune, Fosen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</w:r>
            <w:r w:rsidR="00115B7D" w:rsidRPr="008B362D">
              <w:rPr>
                <w:rFonts w:ascii="Open Sans" w:hAnsi="Open Sans" w:cs="Open Sans"/>
                <w:sz w:val="20"/>
                <w:szCs w:val="20"/>
              </w:rPr>
              <w:t>Åge</w:t>
            </w:r>
            <w:r w:rsidR="008B362D" w:rsidRPr="008B362D">
              <w:rPr>
                <w:rFonts w:ascii="Open Sans" w:hAnsi="Open Sans" w:cs="Open Sans"/>
                <w:sz w:val="20"/>
                <w:szCs w:val="20"/>
              </w:rPr>
              <w:t xml:space="preserve"> Eriksen</w:t>
            </w:r>
            <w:r w:rsidRPr="008B362D">
              <w:rPr>
                <w:rFonts w:ascii="Open Sans" w:hAnsi="Open Sans" w:cs="Open Sans"/>
                <w:sz w:val="20"/>
                <w:szCs w:val="20"/>
              </w:rPr>
              <w:t>, Innherred</w:t>
            </w:r>
            <w:r w:rsidR="00132DE8">
              <w:rPr>
                <w:rFonts w:ascii="Open Sans" w:hAnsi="Open Sans" w:cs="Open Sans"/>
                <w:sz w:val="20"/>
                <w:szCs w:val="20"/>
              </w:rPr>
              <w:t xml:space="preserve"> (vara)</w:t>
            </w:r>
          </w:p>
          <w:p w14:paraId="58982828" w14:textId="77777777" w:rsidR="00F867F0" w:rsidRPr="008B362D" w:rsidRDefault="00F867F0" w:rsidP="00416F8E">
            <w:pPr>
              <w:rPr>
                <w:rFonts w:ascii="Open Sans" w:hAnsi="Open Sans" w:cs="Open Sans"/>
                <w:sz w:val="20"/>
                <w:szCs w:val="20"/>
              </w:rPr>
            </w:pPr>
            <w:r w:rsidRPr="008B362D">
              <w:rPr>
                <w:rFonts w:ascii="Open Sans" w:hAnsi="Open Sans" w:cs="Open Sans"/>
                <w:sz w:val="20"/>
                <w:szCs w:val="20"/>
              </w:rPr>
              <w:t xml:space="preserve">Trygve Kvithyld, NTNU </w:t>
            </w:r>
          </w:p>
          <w:p w14:paraId="60495CEC" w14:textId="66B496EE" w:rsidR="00F867F0" w:rsidRPr="00C924F6" w:rsidRDefault="008B362D" w:rsidP="00416F8E">
            <w:pPr>
              <w:rPr>
                <w:rFonts w:ascii="Open Sans" w:hAnsi="Open Sans" w:cs="Open Sans"/>
                <w:sz w:val="20"/>
                <w:szCs w:val="20"/>
              </w:rPr>
            </w:pPr>
            <w:r w:rsidRPr="008B362D">
              <w:rPr>
                <w:rFonts w:ascii="Open Sans" w:hAnsi="Open Sans" w:cs="Open Sans"/>
                <w:sz w:val="20"/>
                <w:szCs w:val="20"/>
              </w:rPr>
              <w:t>Elisabeth Myhre Johansen, PPT-ledernettverket</w:t>
            </w:r>
          </w:p>
          <w:p w14:paraId="797EB421" w14:textId="77777777" w:rsidR="00F867F0" w:rsidRPr="00C924F6" w:rsidRDefault="00F867F0" w:rsidP="00416F8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Heidi Kristin Holmen, Nord universitet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  <w:t>Liv Iren Grandemo, Nord universitet</w:t>
            </w:r>
          </w:p>
          <w:p w14:paraId="0CD1537F" w14:textId="77777777" w:rsidR="00F867F0" w:rsidRPr="00C924F6" w:rsidRDefault="00F867F0" w:rsidP="00416F8E">
            <w:pPr>
              <w:rPr>
                <w:rFonts w:ascii="Open Sans" w:hAnsi="Open Sans" w:cs="Open Sans"/>
                <w:sz w:val="20"/>
                <w:szCs w:val="20"/>
              </w:rPr>
            </w:pPr>
            <w:r w:rsidRPr="00C924F6">
              <w:rPr>
                <w:rFonts w:ascii="Open Sans" w:hAnsi="Open Sans" w:cs="Open Sans"/>
                <w:sz w:val="20"/>
                <w:szCs w:val="20"/>
              </w:rPr>
              <w:t>Gerd Staverløkk, Gauldal</w:t>
            </w:r>
          </w:p>
          <w:p w14:paraId="557CEC34" w14:textId="77777777" w:rsidR="00F867F0" w:rsidRPr="00C924F6" w:rsidRDefault="00F867F0" w:rsidP="00416F8E">
            <w:pPr>
              <w:rPr>
                <w:rFonts w:ascii="Open Sans" w:hAnsi="Open Sans" w:cs="Open Sans"/>
                <w:sz w:val="20"/>
                <w:szCs w:val="20"/>
              </w:rPr>
            </w:pPr>
            <w:r w:rsidRPr="00C924F6">
              <w:rPr>
                <w:rFonts w:ascii="Open Sans" w:hAnsi="Open Sans" w:cs="Open Sans"/>
                <w:sz w:val="20"/>
                <w:szCs w:val="20"/>
              </w:rPr>
              <w:t>Grete Mo, Midtre Namdal</w:t>
            </w:r>
          </w:p>
          <w:p w14:paraId="347E6228" w14:textId="77777777" w:rsidR="00F867F0" w:rsidRPr="00C924F6" w:rsidRDefault="00F867F0" w:rsidP="00416F8E">
            <w:pPr>
              <w:rPr>
                <w:rFonts w:ascii="Open Sans" w:hAnsi="Open Sans" w:cs="Open Sans"/>
                <w:sz w:val="20"/>
                <w:szCs w:val="20"/>
              </w:rPr>
            </w:pPr>
            <w:r w:rsidRPr="00C924F6">
              <w:rPr>
                <w:rFonts w:ascii="Open Sans" w:hAnsi="Open Sans" w:cs="Open Sans"/>
                <w:sz w:val="20"/>
                <w:szCs w:val="20"/>
              </w:rPr>
              <w:t xml:space="preserve">Kirsti Sandnes Fjær, Ytre Namdal </w:t>
            </w:r>
          </w:p>
          <w:p w14:paraId="6F885525" w14:textId="77777777" w:rsidR="00F867F0" w:rsidRPr="00C924F6" w:rsidRDefault="00F867F0" w:rsidP="00416F8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Arne Johannes Aasen</w:t>
            </w:r>
            <w:r w:rsidRPr="00C924F6">
              <w:rPr>
                <w:rFonts w:ascii="Open Sans" w:hAnsi="Open Sans" w:cs="Open Sans"/>
                <w:sz w:val="20"/>
                <w:szCs w:val="20"/>
              </w:rPr>
              <w:t xml:space="preserve">, senterrepresentant </w:t>
            </w:r>
          </w:p>
          <w:p w14:paraId="5C376A9F" w14:textId="77777777" w:rsidR="00F867F0" w:rsidRPr="00C924F6" w:rsidRDefault="00F867F0" w:rsidP="00416F8E">
            <w:pPr>
              <w:rPr>
                <w:rFonts w:ascii="Open Sans" w:hAnsi="Open Sans" w:cs="Open Sans"/>
                <w:sz w:val="20"/>
                <w:szCs w:val="20"/>
              </w:rPr>
            </w:pPr>
            <w:r w:rsidRPr="00C924F6">
              <w:rPr>
                <w:rFonts w:ascii="Open Sans" w:hAnsi="Open Sans" w:cs="Open Sans"/>
                <w:sz w:val="20"/>
                <w:szCs w:val="20"/>
              </w:rPr>
              <w:t>Margit K. Myrseth, Trøndelag sørvest</w:t>
            </w:r>
            <w:r w:rsidRPr="00C924F6">
              <w:rPr>
                <w:rFonts w:ascii="Open Sans" w:hAnsi="Open Sans" w:cs="Open Sans"/>
                <w:sz w:val="20"/>
                <w:szCs w:val="20"/>
              </w:rPr>
              <w:br/>
              <w:t xml:space="preserve">Tarjei Moen, videregående skoler 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  <w:t>Elin Bø Morud, NTNU</w:t>
            </w:r>
          </w:p>
          <w:p w14:paraId="55022B1B" w14:textId="77777777" w:rsidR="00F867F0" w:rsidRPr="00C924F6" w:rsidRDefault="00F867F0" w:rsidP="00416F8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F3C8060" w14:textId="77777777" w:rsidR="00F867F0" w:rsidRPr="00C924F6" w:rsidRDefault="00F867F0" w:rsidP="00416F8E">
            <w:pPr>
              <w:rPr>
                <w:rFonts w:ascii="Open Sans" w:hAnsi="Open Sans" w:cs="Open Sans"/>
                <w:sz w:val="20"/>
                <w:szCs w:val="20"/>
              </w:rPr>
            </w:pPr>
            <w:r w:rsidRPr="00C924F6">
              <w:rPr>
                <w:rFonts w:ascii="Open Sans" w:hAnsi="Open Sans" w:cs="Open Sans"/>
                <w:sz w:val="20"/>
                <w:szCs w:val="20"/>
              </w:rPr>
              <w:t xml:space="preserve">Sekretariat: Ragnhild Sperstad Lyng, </w:t>
            </w:r>
          </w:p>
          <w:p w14:paraId="5F15CD59" w14:textId="77777777" w:rsidR="00F867F0" w:rsidRPr="001175E3" w:rsidRDefault="00F867F0" w:rsidP="00416F8E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C924F6">
              <w:rPr>
                <w:rFonts w:ascii="Open Sans" w:hAnsi="Open Sans" w:cs="Open Sans"/>
                <w:sz w:val="20"/>
                <w:szCs w:val="20"/>
              </w:rPr>
              <w:t>og Bjørn Rist, Statsforvalteren</w:t>
            </w:r>
          </w:p>
        </w:tc>
        <w:tc>
          <w:tcPr>
            <w:tcW w:w="2976" w:type="dxa"/>
          </w:tcPr>
          <w:p w14:paraId="6273AD71" w14:textId="77777777" w:rsidR="00F867F0" w:rsidRPr="00C924F6" w:rsidRDefault="00F867F0" w:rsidP="00416F8E">
            <w:pPr>
              <w:rPr>
                <w:rFonts w:ascii="Open Sans" w:hAnsi="Open Sans" w:cs="Open Sans"/>
                <w:sz w:val="20"/>
                <w:szCs w:val="20"/>
              </w:rPr>
            </w:pPr>
            <w:r w:rsidRPr="00C924F6">
              <w:rPr>
                <w:rFonts w:ascii="Open Sans" w:hAnsi="Open Sans" w:cs="Open Sans"/>
                <w:sz w:val="20"/>
                <w:szCs w:val="20"/>
              </w:rPr>
              <w:t>Forfall:</w:t>
            </w:r>
          </w:p>
          <w:p w14:paraId="0AD1A74A" w14:textId="77777777" w:rsidR="00F867F0" w:rsidRPr="00C924F6" w:rsidRDefault="00F867F0" w:rsidP="00416F8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9DBC504" w14:textId="14CE0D06" w:rsidR="00F867F0" w:rsidRPr="009513C4" w:rsidRDefault="00F867F0" w:rsidP="00416F8E">
            <w:pPr>
              <w:rPr>
                <w:rFonts w:ascii="Open Sans" w:hAnsi="Open Sans" w:cs="Open Sans"/>
                <w:sz w:val="20"/>
                <w:szCs w:val="20"/>
              </w:rPr>
            </w:pPr>
            <w:r w:rsidRPr="009513C4">
              <w:rPr>
                <w:rFonts w:ascii="Open Sans" w:hAnsi="Open Sans" w:cs="Open Sans"/>
                <w:sz w:val="20"/>
                <w:szCs w:val="20"/>
              </w:rPr>
              <w:t>May-Iren Evenmo, KS</w:t>
            </w:r>
            <w:r w:rsidRPr="009513C4">
              <w:rPr>
                <w:rFonts w:ascii="Open Sans" w:hAnsi="Open Sans" w:cs="Open Sans"/>
                <w:sz w:val="20"/>
                <w:szCs w:val="20"/>
              </w:rPr>
              <w:br/>
              <w:t>Svein Harald Nygård, Statped</w:t>
            </w:r>
            <w:r w:rsidR="009513C4" w:rsidRPr="009513C4">
              <w:rPr>
                <w:rFonts w:ascii="Open Sans" w:hAnsi="Open Sans" w:cs="Open Sans"/>
                <w:sz w:val="20"/>
                <w:szCs w:val="20"/>
              </w:rPr>
              <w:br/>
              <w:t>Gisle Almlid-Larsen, Inn</w:t>
            </w:r>
            <w:r w:rsidR="009513C4">
              <w:rPr>
                <w:rFonts w:ascii="Open Sans" w:hAnsi="Open Sans" w:cs="Open Sans"/>
                <w:sz w:val="20"/>
                <w:szCs w:val="20"/>
              </w:rPr>
              <w:t>herredsnettverket</w:t>
            </w:r>
          </w:p>
          <w:p w14:paraId="5F2213A7" w14:textId="77777777" w:rsidR="00F867F0" w:rsidRPr="009513C4" w:rsidRDefault="00F867F0" w:rsidP="00416F8E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3958C868" w14:textId="77777777" w:rsidR="00F867F0" w:rsidRPr="009513C4" w:rsidRDefault="00F867F0" w:rsidP="00416F8E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E0D1659" w14:textId="77777777" w:rsidR="00F867F0" w:rsidRPr="00CB4F0B" w:rsidRDefault="00F867F0" w:rsidP="00416F8E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 xml:space="preserve">Dato: </w:t>
            </w:r>
          </w:p>
          <w:p w14:paraId="771F22A1" w14:textId="77777777" w:rsidR="00F867F0" w:rsidRPr="00CB4F0B" w:rsidRDefault="00F867F0" w:rsidP="00416F8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0807394" w14:textId="2CD4EEE1" w:rsidR="00F867F0" w:rsidRPr="00CB4F0B" w:rsidRDefault="008B362D" w:rsidP="00416F8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13. mars 2025</w:t>
            </w:r>
          </w:p>
          <w:p w14:paraId="5ADE9642" w14:textId="77777777" w:rsidR="00F867F0" w:rsidRDefault="00F867F0" w:rsidP="00416F8E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 xml:space="preserve">Møte i samarbeidsforum for </w:t>
            </w:r>
            <w:r>
              <w:rPr>
                <w:rFonts w:ascii="Open Sans" w:hAnsi="Open Sans" w:cs="Open Sans"/>
                <w:sz w:val="20"/>
                <w:szCs w:val="20"/>
              </w:rPr>
              <w:t>Dekom</w:t>
            </w:r>
            <w:r w:rsidRPr="00CB4F0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2837433D" w14:textId="77777777" w:rsidR="00F867F0" w:rsidRDefault="00F867F0" w:rsidP="00416F8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B1B3142" w14:textId="77777777" w:rsidR="00F867F0" w:rsidRPr="00CB4F0B" w:rsidRDefault="00F867F0" w:rsidP="00416F8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Scandic Hell hotell, Stjørdal</w:t>
            </w:r>
          </w:p>
          <w:p w14:paraId="0D3D905D" w14:textId="77777777" w:rsidR="00F867F0" w:rsidRPr="00CB4F0B" w:rsidRDefault="00F867F0" w:rsidP="00416F8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DD7FC1B" w14:textId="400FB077" w:rsidR="00F867F0" w:rsidRPr="00CB4F0B" w:rsidRDefault="00F867F0" w:rsidP="00416F8E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 xml:space="preserve">Kl. </w:t>
            </w:r>
            <w:r>
              <w:rPr>
                <w:rFonts w:ascii="Open Sans" w:hAnsi="Open Sans" w:cs="Open Sans"/>
                <w:sz w:val="20"/>
                <w:szCs w:val="20"/>
              </w:rPr>
              <w:t>09</w:t>
            </w:r>
            <w:r w:rsidRPr="00CB4F0B">
              <w:rPr>
                <w:rFonts w:ascii="Open Sans" w:hAnsi="Open Sans" w:cs="Open Sans"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CB4F0B">
              <w:rPr>
                <w:rFonts w:ascii="Open Sans" w:hAnsi="Open Sans" w:cs="Open Sans"/>
                <w:sz w:val="20"/>
                <w:szCs w:val="20"/>
              </w:rPr>
              <w:t>0 – 1</w:t>
            </w:r>
            <w:r w:rsidR="00132DE8">
              <w:rPr>
                <w:rFonts w:ascii="Open Sans" w:hAnsi="Open Sans" w:cs="Open Sans"/>
                <w:sz w:val="20"/>
                <w:szCs w:val="20"/>
              </w:rPr>
              <w:t>4</w:t>
            </w:r>
            <w:r w:rsidRPr="00CB4F0B">
              <w:rPr>
                <w:rFonts w:ascii="Open Sans" w:hAnsi="Open Sans" w:cs="Open Sans"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sz w:val="20"/>
                <w:szCs w:val="20"/>
              </w:rPr>
              <w:t>0</w:t>
            </w:r>
            <w:r w:rsidRPr="00CB4F0B">
              <w:rPr>
                <w:rFonts w:ascii="Open Sans" w:hAnsi="Open Sans" w:cs="Open Sans"/>
                <w:sz w:val="20"/>
                <w:szCs w:val="20"/>
              </w:rPr>
              <w:t>0</w:t>
            </w:r>
          </w:p>
          <w:p w14:paraId="31EF53C1" w14:textId="77777777" w:rsidR="00F867F0" w:rsidRPr="00CB4F0B" w:rsidRDefault="00F867F0" w:rsidP="00416F8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56CD294" w14:textId="77777777" w:rsidR="00F867F0" w:rsidRPr="00CB4F0B" w:rsidRDefault="00F867F0" w:rsidP="00416F8E">
            <w:pPr>
              <w:rPr>
                <w:rFonts w:ascii="Open Sans" w:hAnsi="Open Sans" w:cs="Open Sans"/>
                <w:sz w:val="20"/>
                <w:szCs w:val="20"/>
              </w:rPr>
            </w:pPr>
            <w:r w:rsidRPr="00CB4F0B">
              <w:rPr>
                <w:rFonts w:ascii="Open Sans" w:hAnsi="Open Sans" w:cs="Open Sans"/>
                <w:sz w:val="20"/>
                <w:szCs w:val="20"/>
              </w:rPr>
              <w:t xml:space="preserve">Referent: </w:t>
            </w:r>
            <w:r>
              <w:rPr>
                <w:rFonts w:ascii="Open Sans" w:hAnsi="Open Sans" w:cs="Open Sans"/>
                <w:sz w:val="20"/>
                <w:szCs w:val="20"/>
              </w:rPr>
              <w:t>Ragnhild Sperstad Lyng/</w:t>
            </w:r>
            <w:r w:rsidRPr="00CB4F0B">
              <w:rPr>
                <w:rFonts w:ascii="Open Sans" w:hAnsi="Open Sans" w:cs="Open Sans"/>
                <w:sz w:val="20"/>
                <w:szCs w:val="20"/>
              </w:rPr>
              <w:t xml:space="preserve">Bjørn Rist </w:t>
            </w:r>
          </w:p>
        </w:tc>
      </w:tr>
    </w:tbl>
    <w:p w14:paraId="308522F1" w14:textId="77777777" w:rsidR="00F867F0" w:rsidRPr="00CB4F0B" w:rsidRDefault="00F867F0" w:rsidP="00F867F0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E9A3510" w14:textId="37E43A7B" w:rsidR="00F867F0" w:rsidRPr="00115B7D" w:rsidRDefault="00DD23E2" w:rsidP="00F867F0">
      <w:pPr>
        <w:shd w:val="clear" w:color="auto" w:fill="FFFFFF" w:themeFill="background1"/>
        <w:spacing w:after="0" w:line="240" w:lineRule="auto"/>
        <w:rPr>
          <w:rFonts w:ascii="Open Sans" w:hAnsi="Open Sans" w:cs="Open Sans"/>
          <w:sz w:val="20"/>
          <w:szCs w:val="20"/>
        </w:rPr>
      </w:pPr>
      <w:r w:rsidRPr="00DD23E2">
        <w:rPr>
          <w:rFonts w:ascii="Open Sans" w:hAnsi="Open Sans" w:cs="Open Sans"/>
          <w:sz w:val="20"/>
          <w:szCs w:val="20"/>
        </w:rPr>
        <w:t>Ragnhild</w:t>
      </w:r>
      <w:r w:rsidR="00F867F0" w:rsidRPr="00DD23E2">
        <w:rPr>
          <w:rFonts w:ascii="Open Sans" w:hAnsi="Open Sans" w:cs="Open Sans"/>
          <w:sz w:val="20"/>
          <w:szCs w:val="20"/>
        </w:rPr>
        <w:t xml:space="preserve"> innledet med å ønske velkommen, og gi en oversikt over deltakerne i møtet. Det var </w:t>
      </w:r>
      <w:r w:rsidR="009513C4">
        <w:rPr>
          <w:rFonts w:ascii="Open Sans" w:hAnsi="Open Sans" w:cs="Open Sans"/>
          <w:sz w:val="20"/>
          <w:szCs w:val="20"/>
        </w:rPr>
        <w:t>3</w:t>
      </w:r>
      <w:r w:rsidR="00F867F0" w:rsidRPr="00DD23E2">
        <w:rPr>
          <w:rFonts w:ascii="Open Sans" w:hAnsi="Open Sans" w:cs="Open Sans"/>
          <w:sz w:val="20"/>
          <w:szCs w:val="20"/>
        </w:rPr>
        <w:t xml:space="preserve"> forfall, og 1</w:t>
      </w:r>
      <w:r w:rsidR="00300545">
        <w:rPr>
          <w:rFonts w:ascii="Open Sans" w:hAnsi="Open Sans" w:cs="Open Sans"/>
          <w:sz w:val="20"/>
          <w:szCs w:val="20"/>
        </w:rPr>
        <w:t xml:space="preserve"> </w:t>
      </w:r>
      <w:r w:rsidR="00F867F0" w:rsidRPr="00DD23E2">
        <w:rPr>
          <w:rFonts w:ascii="Open Sans" w:hAnsi="Open Sans" w:cs="Open Sans"/>
          <w:sz w:val="20"/>
          <w:szCs w:val="20"/>
        </w:rPr>
        <w:t>vararepresentant møtte. Det var 18 stemmeberettigede i møtet.</w:t>
      </w:r>
      <w:r w:rsidR="00F867F0" w:rsidRPr="00115B7D">
        <w:rPr>
          <w:rFonts w:ascii="Open Sans" w:hAnsi="Open Sans" w:cs="Open Sans"/>
          <w:sz w:val="20"/>
          <w:szCs w:val="20"/>
        </w:rPr>
        <w:br/>
      </w:r>
      <w:r w:rsidR="00F867F0">
        <w:rPr>
          <w:rFonts w:ascii="Open Sans" w:hAnsi="Open Sans" w:cs="Open Sans"/>
          <w:i/>
          <w:iCs/>
          <w:sz w:val="20"/>
          <w:szCs w:val="20"/>
        </w:rPr>
        <w:br/>
      </w:r>
      <w:r w:rsidR="00132DE8">
        <w:rPr>
          <w:rFonts w:ascii="Open Sans" w:hAnsi="Open Sans" w:cs="Open Sans"/>
          <w:sz w:val="20"/>
          <w:szCs w:val="20"/>
        </w:rPr>
        <w:t xml:space="preserve">Saksliste og saksdokumenter var utsendt på forhånd. Det var én sak under eventuelt – </w:t>
      </w:r>
      <w:r w:rsidR="009513C4">
        <w:rPr>
          <w:rFonts w:ascii="Open Sans" w:hAnsi="Open Sans" w:cs="Open Sans"/>
          <w:sz w:val="20"/>
          <w:szCs w:val="20"/>
        </w:rPr>
        <w:t xml:space="preserve">denne var </w:t>
      </w:r>
      <w:r w:rsidR="00132DE8">
        <w:rPr>
          <w:rFonts w:ascii="Open Sans" w:hAnsi="Open Sans" w:cs="Open Sans"/>
          <w:sz w:val="20"/>
          <w:szCs w:val="20"/>
        </w:rPr>
        <w:t>knyttet til samisktiltaket. En orientering om denne saken ble tatt under aktueltsake</w:t>
      </w:r>
      <w:r w:rsidR="009513C4">
        <w:rPr>
          <w:rFonts w:ascii="Open Sans" w:hAnsi="Open Sans" w:cs="Open Sans"/>
          <w:sz w:val="20"/>
          <w:szCs w:val="20"/>
        </w:rPr>
        <w:t>ne</w:t>
      </w:r>
      <w:r w:rsidR="00132DE8">
        <w:rPr>
          <w:rFonts w:ascii="Open Sans" w:hAnsi="Open Sans" w:cs="Open Sans"/>
          <w:sz w:val="20"/>
          <w:szCs w:val="20"/>
        </w:rPr>
        <w:t>.</w:t>
      </w:r>
    </w:p>
    <w:p w14:paraId="7CF2ABE2" w14:textId="77777777" w:rsidR="00F867F0" w:rsidRDefault="00F867F0" w:rsidP="00F867F0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6041D603" w14:textId="2B4D4565" w:rsidR="00115B7D" w:rsidRPr="00115B7D" w:rsidRDefault="00F867F0" w:rsidP="00115B7D">
      <w:pPr>
        <w:rPr>
          <w:rFonts w:cstheme="minorHAnsi"/>
        </w:rPr>
      </w:pPr>
      <w:r w:rsidRPr="004D7E46">
        <w:rPr>
          <w:rFonts w:cstheme="minorHAnsi"/>
          <w:b/>
          <w:bCs/>
        </w:rPr>
        <w:t xml:space="preserve">Sak </w:t>
      </w:r>
      <w:r>
        <w:rPr>
          <w:rFonts w:cstheme="minorHAnsi"/>
          <w:b/>
          <w:bCs/>
        </w:rPr>
        <w:t>6</w:t>
      </w:r>
      <w:r w:rsidRPr="004D7E46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5</w:t>
      </w:r>
      <w:r w:rsidRPr="004D7E46">
        <w:rPr>
          <w:rFonts w:cstheme="minorHAnsi"/>
          <w:b/>
          <w:bCs/>
        </w:rPr>
        <w:tab/>
        <w:t xml:space="preserve">Aktuelt </w:t>
      </w:r>
      <w:r w:rsidRPr="004D7E46">
        <w:rPr>
          <w:rFonts w:cstheme="minorHAnsi"/>
        </w:rPr>
        <w:t>(informasjonssak)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 w:rsidR="00132DE8">
        <w:rPr>
          <w:rFonts w:cstheme="minorHAnsi"/>
        </w:rPr>
        <w:br/>
      </w:r>
      <w:r w:rsidR="00132DE8" w:rsidRPr="00C90D06">
        <w:rPr>
          <w:rFonts w:cstheme="minorHAnsi"/>
          <w:u w:val="single"/>
        </w:rPr>
        <w:t xml:space="preserve">a) </w:t>
      </w:r>
      <w:r w:rsidR="00115B7D" w:rsidRPr="00C90D06">
        <w:rPr>
          <w:rFonts w:cstheme="minorHAnsi"/>
          <w:u w:val="single"/>
        </w:rPr>
        <w:t xml:space="preserve">Referat fra </w:t>
      </w:r>
      <w:r w:rsidR="00132DE8" w:rsidRPr="00C90D06">
        <w:rPr>
          <w:rFonts w:cstheme="minorHAnsi"/>
          <w:u w:val="single"/>
        </w:rPr>
        <w:t xml:space="preserve">møte i samarbeidsforum Dekom </w:t>
      </w:r>
      <w:r w:rsidR="009513C4">
        <w:rPr>
          <w:rFonts w:cstheme="minorHAnsi"/>
          <w:u w:val="single"/>
        </w:rPr>
        <w:t>9</w:t>
      </w:r>
      <w:r w:rsidR="00115B7D" w:rsidRPr="00C90D06">
        <w:rPr>
          <w:rFonts w:cstheme="minorHAnsi"/>
          <w:u w:val="single"/>
        </w:rPr>
        <w:t>. januar</w:t>
      </w:r>
      <w:r w:rsidR="00132DE8" w:rsidRPr="00C90D06">
        <w:rPr>
          <w:rFonts w:cstheme="minorHAnsi"/>
          <w:u w:val="single"/>
        </w:rPr>
        <w:br/>
      </w:r>
      <w:r w:rsidR="00132DE8" w:rsidRPr="00132DE8">
        <w:rPr>
          <w:rFonts w:ascii="Open Sans" w:hAnsi="Open Sans" w:cs="Open Sans"/>
          <w:sz w:val="20"/>
          <w:szCs w:val="20"/>
        </w:rPr>
        <w:t xml:space="preserve">Referatet fra møtet i samarbeidsforum Dekom </w:t>
      </w:r>
      <w:r w:rsidR="009513C4">
        <w:rPr>
          <w:rFonts w:ascii="Open Sans" w:hAnsi="Open Sans" w:cs="Open Sans"/>
          <w:sz w:val="20"/>
          <w:szCs w:val="20"/>
        </w:rPr>
        <w:t>9</w:t>
      </w:r>
      <w:r w:rsidR="00132DE8" w:rsidRPr="00132DE8">
        <w:rPr>
          <w:rFonts w:ascii="Open Sans" w:hAnsi="Open Sans" w:cs="Open Sans"/>
          <w:sz w:val="20"/>
          <w:szCs w:val="20"/>
        </w:rPr>
        <w:t>. januar</w:t>
      </w:r>
      <w:r w:rsidR="00132DE8">
        <w:rPr>
          <w:rFonts w:ascii="Open Sans" w:hAnsi="Open Sans" w:cs="Open Sans"/>
          <w:sz w:val="20"/>
          <w:szCs w:val="20"/>
        </w:rPr>
        <w:t xml:space="preserve"> ble godkjent uten merknader</w:t>
      </w:r>
      <w:r w:rsidR="00C90D06">
        <w:rPr>
          <w:rFonts w:ascii="Open Sans" w:hAnsi="Open Sans" w:cs="Open Sans"/>
          <w:sz w:val="20"/>
          <w:szCs w:val="20"/>
        </w:rPr>
        <w:t>.</w:t>
      </w:r>
      <w:r w:rsidR="00132DE8">
        <w:rPr>
          <w:rFonts w:ascii="Open Sans" w:hAnsi="Open Sans" w:cs="Open Sans"/>
          <w:sz w:val="20"/>
          <w:szCs w:val="20"/>
        </w:rPr>
        <w:t xml:space="preserve"> </w:t>
      </w:r>
      <w:r w:rsidR="00C90D06">
        <w:rPr>
          <w:rFonts w:ascii="Open Sans" w:hAnsi="Open Sans" w:cs="Open Sans"/>
          <w:sz w:val="20"/>
          <w:szCs w:val="20"/>
        </w:rPr>
        <w:t xml:space="preserve">Det </w:t>
      </w:r>
      <w:r w:rsidR="00132DE8">
        <w:rPr>
          <w:rFonts w:ascii="Open Sans" w:hAnsi="Open Sans" w:cs="Open Sans"/>
          <w:sz w:val="20"/>
          <w:szCs w:val="20"/>
        </w:rPr>
        <w:t>ble publisert på hjemmesida til Statsforvalteren i etterkant av fristen for tilbakemelding. Referat med vedlegg ble også lagt på Teamsgruppa.</w:t>
      </w:r>
    </w:p>
    <w:p w14:paraId="4022CED8" w14:textId="17225FEA" w:rsidR="00C90D06" w:rsidRPr="00300545" w:rsidRDefault="00115B7D" w:rsidP="00115B7D">
      <w:pPr>
        <w:spacing w:after="0" w:line="240" w:lineRule="auto"/>
        <w:rPr>
          <w:rFonts w:cstheme="minorHAnsi"/>
        </w:rPr>
      </w:pPr>
      <w:r w:rsidRPr="00115B7D">
        <w:rPr>
          <w:rFonts w:cstheme="minorHAnsi"/>
        </w:rPr>
        <w:br/>
      </w:r>
      <w:r w:rsidR="00132DE8" w:rsidRPr="00C90D06">
        <w:rPr>
          <w:rFonts w:cstheme="minorHAnsi"/>
          <w:u w:val="single"/>
        </w:rPr>
        <w:t xml:space="preserve">b) </w:t>
      </w:r>
      <w:r w:rsidRPr="00C90D06">
        <w:rPr>
          <w:rFonts w:cstheme="minorHAnsi"/>
          <w:u w:val="single"/>
        </w:rPr>
        <w:t xml:space="preserve">Webinarene </w:t>
      </w:r>
      <w:r w:rsidR="00132DE8" w:rsidRPr="00C90D06">
        <w:rPr>
          <w:rFonts w:cstheme="minorHAnsi"/>
          <w:u w:val="single"/>
        </w:rPr>
        <w:t xml:space="preserve">om lokalt gitt eksamen </w:t>
      </w:r>
      <w:r w:rsidRPr="00C90D06">
        <w:rPr>
          <w:rFonts w:cstheme="minorHAnsi"/>
          <w:u w:val="single"/>
        </w:rPr>
        <w:t>er i full gang</w:t>
      </w:r>
      <w:r w:rsidRPr="00300545">
        <w:rPr>
          <w:rFonts w:cstheme="minorHAnsi"/>
        </w:rPr>
        <w:t xml:space="preserve"> </w:t>
      </w:r>
    </w:p>
    <w:p w14:paraId="50E5D081" w14:textId="13773D8F" w:rsidR="00C90D06" w:rsidRDefault="00132DE8" w:rsidP="00115B7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Når alle er gjennomført vil </w:t>
      </w:r>
      <w:r w:rsidR="00C90D06">
        <w:rPr>
          <w:rFonts w:cstheme="minorHAnsi"/>
        </w:rPr>
        <w:t>Statsforvalteren</w:t>
      </w:r>
      <w:r>
        <w:rPr>
          <w:rFonts w:cstheme="minorHAnsi"/>
        </w:rPr>
        <w:t xml:space="preserve"> be om en oversikt over deltakelse, samt høre hvilke erfaringer </w:t>
      </w:r>
      <w:r w:rsidR="009D7E8B">
        <w:rPr>
          <w:rFonts w:cstheme="minorHAnsi"/>
        </w:rPr>
        <w:t xml:space="preserve">sentrene gjorde seg </w:t>
      </w:r>
      <w:r w:rsidR="00C90D06">
        <w:rPr>
          <w:rFonts w:cstheme="minorHAnsi"/>
        </w:rPr>
        <w:t>ved</w:t>
      </w:r>
      <w:r w:rsidR="009D7E8B">
        <w:rPr>
          <w:rFonts w:cstheme="minorHAnsi"/>
        </w:rPr>
        <w:t xml:space="preserve"> gjennomføringen dette året. Vi vil også ha en kort evaluering</w:t>
      </w:r>
      <w:r w:rsidR="00216D23">
        <w:rPr>
          <w:rFonts w:cstheme="minorHAnsi"/>
        </w:rPr>
        <w:t xml:space="preserve"> av tiltaket</w:t>
      </w:r>
      <w:r w:rsidR="009D7E8B">
        <w:rPr>
          <w:rFonts w:cstheme="minorHAnsi"/>
        </w:rPr>
        <w:t>. De</w:t>
      </w:r>
      <w:r w:rsidR="00216D23">
        <w:rPr>
          <w:rFonts w:cstheme="minorHAnsi"/>
        </w:rPr>
        <w:t>nn</w:t>
      </w:r>
      <w:r w:rsidR="009D7E8B">
        <w:rPr>
          <w:rFonts w:cstheme="minorHAnsi"/>
        </w:rPr>
        <w:t xml:space="preserve">e bringes opp til samarbeidsforum i septembermøtet slik at vi kan gjøre </w:t>
      </w:r>
      <w:r w:rsidR="009D7E8B">
        <w:rPr>
          <w:rFonts w:cstheme="minorHAnsi"/>
        </w:rPr>
        <w:lastRenderedPageBreak/>
        <w:t xml:space="preserve">eventuelle tilpasninger for neste års webinarer. </w:t>
      </w:r>
      <w:proofErr w:type="spellStart"/>
      <w:r w:rsidR="009D7E8B" w:rsidRPr="00216D23">
        <w:rPr>
          <w:rFonts w:cstheme="minorHAnsi"/>
        </w:rPr>
        <w:t>Webinarrekke</w:t>
      </w:r>
      <w:proofErr w:type="spellEnd"/>
      <w:r w:rsidR="009D7E8B" w:rsidRPr="00216D23">
        <w:rPr>
          <w:rFonts w:cstheme="minorHAnsi"/>
        </w:rPr>
        <w:t xml:space="preserve"> for 2026 er </w:t>
      </w:r>
      <w:r w:rsidR="00216D23" w:rsidRPr="00216D23">
        <w:rPr>
          <w:rFonts w:cstheme="minorHAnsi"/>
        </w:rPr>
        <w:t xml:space="preserve">budsjettert jf. Langsiktig plan. </w:t>
      </w:r>
      <w:r w:rsidR="00115B7D" w:rsidRPr="00115B7D">
        <w:rPr>
          <w:rFonts w:cstheme="minorHAnsi"/>
        </w:rPr>
        <w:br/>
      </w:r>
      <w:r w:rsidR="00115B7D" w:rsidRPr="00115B7D">
        <w:rPr>
          <w:rFonts w:cstheme="minorHAnsi"/>
        </w:rPr>
        <w:br/>
      </w:r>
      <w:r w:rsidR="009D7E8B" w:rsidRPr="00C90D06">
        <w:rPr>
          <w:rFonts w:cstheme="minorHAnsi"/>
          <w:u w:val="single"/>
        </w:rPr>
        <w:t xml:space="preserve">c) </w:t>
      </w:r>
      <w:r w:rsidR="00C33F51" w:rsidRPr="00C90D06">
        <w:rPr>
          <w:rFonts w:cstheme="minorHAnsi"/>
          <w:u w:val="single"/>
        </w:rPr>
        <w:t xml:space="preserve">Statsforvalteren har </w:t>
      </w:r>
      <w:r w:rsidR="00115B7D" w:rsidRPr="00C90D06">
        <w:rPr>
          <w:rFonts w:cstheme="minorHAnsi"/>
          <w:u w:val="single"/>
        </w:rPr>
        <w:t>fått oppdrag</w:t>
      </w:r>
      <w:r w:rsidR="00C33F51" w:rsidRPr="00C90D06">
        <w:rPr>
          <w:rFonts w:cstheme="minorHAnsi"/>
          <w:u w:val="single"/>
        </w:rPr>
        <w:t xml:space="preserve"> knyttet til opplæringsloven</w:t>
      </w:r>
      <w:r w:rsidR="009D7E8B" w:rsidRPr="00C90D06">
        <w:rPr>
          <w:rFonts w:cstheme="minorHAnsi"/>
          <w:u w:val="single"/>
        </w:rPr>
        <w:t xml:space="preserve"> også i 2025</w:t>
      </w:r>
    </w:p>
    <w:p w14:paraId="58BC27B3" w14:textId="218B40CE" w:rsidR="00115B7D" w:rsidRPr="00115B7D" w:rsidRDefault="00C33F51" w:rsidP="00115B7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Statsforvalteren har </w:t>
      </w:r>
      <w:r w:rsidR="009D7E8B">
        <w:rPr>
          <w:rFonts w:cstheme="minorHAnsi"/>
        </w:rPr>
        <w:t xml:space="preserve">gjennomført dialogmøter med samtlige regioner/kommunale kompetansenettverk. </w:t>
      </w:r>
      <w:r w:rsidR="00964C9B">
        <w:rPr>
          <w:rFonts w:cstheme="minorHAnsi"/>
        </w:rPr>
        <w:t xml:space="preserve">Statsforvalteren utarbeidet </w:t>
      </w:r>
      <w:r w:rsidR="009D7E8B">
        <w:rPr>
          <w:rFonts w:cstheme="minorHAnsi"/>
        </w:rPr>
        <w:t xml:space="preserve">en strategi i 2023/24 – og på bakgrunn av erfaringene fra tiltak i 2024, og dialog med sektor, videreutvikles det valgte </w:t>
      </w:r>
      <w:r w:rsidR="00115B7D" w:rsidRPr="00115B7D">
        <w:rPr>
          <w:rFonts w:cstheme="minorHAnsi"/>
        </w:rPr>
        <w:t xml:space="preserve">sporet. </w:t>
      </w:r>
      <w:r w:rsidR="004056D8">
        <w:rPr>
          <w:rFonts w:cstheme="minorHAnsi"/>
        </w:rPr>
        <w:br/>
      </w:r>
      <w:r w:rsidR="004056D8">
        <w:rPr>
          <w:rFonts w:cstheme="minorHAnsi"/>
        </w:rPr>
        <w:br/>
        <w:t>NTNU Samfunnsforskning har fått oppdraget med følgeevaluering av implementering av ny opplæringslov</w:t>
      </w:r>
      <w:r w:rsidR="006A7CED">
        <w:rPr>
          <w:rFonts w:cstheme="minorHAnsi"/>
        </w:rPr>
        <w:t xml:space="preserve">. Trøndelag er casefylke. </w:t>
      </w:r>
    </w:p>
    <w:p w14:paraId="64E9E2C0" w14:textId="77777777" w:rsidR="00C33F51" w:rsidRDefault="00C33F51" w:rsidP="00115B7D">
      <w:pPr>
        <w:spacing w:after="0" w:line="240" w:lineRule="auto"/>
        <w:rPr>
          <w:rFonts w:cstheme="minorHAnsi"/>
        </w:rPr>
      </w:pPr>
    </w:p>
    <w:p w14:paraId="13E3BEE4" w14:textId="71D52D64" w:rsidR="00964C9B" w:rsidRPr="00300545" w:rsidRDefault="009D7E8B" w:rsidP="00115B7D">
      <w:pPr>
        <w:spacing w:after="0" w:line="240" w:lineRule="auto"/>
        <w:rPr>
          <w:rFonts w:cstheme="minorHAnsi"/>
          <w:u w:val="single"/>
        </w:rPr>
      </w:pPr>
      <w:r w:rsidRPr="00300545">
        <w:rPr>
          <w:rFonts w:cstheme="minorHAnsi"/>
          <w:u w:val="single"/>
        </w:rPr>
        <w:t xml:space="preserve">d) Videreutvikling av tilskuddsordningen </w:t>
      </w:r>
    </w:p>
    <w:p w14:paraId="01EF3889" w14:textId="2C6A8DFD" w:rsidR="00BE6DBC" w:rsidRDefault="009D7E8B" w:rsidP="00115B7D">
      <w:pPr>
        <w:spacing w:after="0" w:line="240" w:lineRule="auto"/>
        <w:rPr>
          <w:rFonts w:cstheme="minorHAnsi"/>
        </w:rPr>
      </w:pPr>
      <w:r>
        <w:rPr>
          <w:rFonts w:cstheme="minorHAnsi"/>
        </w:rPr>
        <w:t>Det som ble formidlet dagen før, ble ikke gjentatt</w:t>
      </w:r>
      <w:r w:rsidR="00B05A82">
        <w:rPr>
          <w:rFonts w:cstheme="minorHAnsi"/>
        </w:rPr>
        <w:t xml:space="preserve"> (se lysark fra 12. mars)</w:t>
      </w:r>
      <w:r w:rsidR="00964C9B">
        <w:rPr>
          <w:rFonts w:cstheme="minorHAnsi"/>
        </w:rPr>
        <w:t xml:space="preserve">. </w:t>
      </w:r>
      <w:r w:rsidR="00115B7D" w:rsidRPr="00115B7D">
        <w:rPr>
          <w:rFonts w:cstheme="minorHAnsi"/>
        </w:rPr>
        <w:t xml:space="preserve">Langsiktig plan har per i dag noen føringer for faste tildelinger. Dette må vi ta stilling til om vi skal videreføre. (UP1, fellestiltak, koordinering mm). </w:t>
      </w:r>
      <w:r w:rsidR="00231F6F">
        <w:rPr>
          <w:rFonts w:cstheme="minorHAnsi"/>
        </w:rPr>
        <w:t xml:space="preserve"> I den nye ordningen skilles videregående ut </w:t>
      </w:r>
      <w:r w:rsidR="001B07D8">
        <w:rPr>
          <w:rFonts w:cstheme="minorHAnsi"/>
        </w:rPr>
        <w:t xml:space="preserve">som </w:t>
      </w:r>
      <w:r w:rsidR="00231F6F">
        <w:rPr>
          <w:rFonts w:cstheme="minorHAnsi"/>
        </w:rPr>
        <w:t xml:space="preserve">egen delordning. Dette har nok både fordeler og ulemper. </w:t>
      </w:r>
      <w:r w:rsidR="00BE6DBC">
        <w:rPr>
          <w:rFonts w:cstheme="minorHAnsi"/>
        </w:rPr>
        <w:t>En todeling av ordningen vil ikke være til hinder for samarbeid.</w:t>
      </w:r>
      <w:r w:rsidR="00BE6DBC">
        <w:rPr>
          <w:rFonts w:cstheme="minorHAnsi"/>
        </w:rPr>
        <w:br/>
      </w:r>
    </w:p>
    <w:p w14:paraId="208C4CBC" w14:textId="2065F185" w:rsidR="00231F6F" w:rsidRDefault="00231F6F" w:rsidP="00115B7D">
      <w:pPr>
        <w:spacing w:after="0" w:line="240" w:lineRule="auto"/>
        <w:rPr>
          <w:rFonts w:cstheme="minorHAnsi"/>
        </w:rPr>
      </w:pPr>
      <w:r>
        <w:rPr>
          <w:rFonts w:cstheme="minorHAnsi"/>
        </w:rPr>
        <w:t>Med ny opplæringslov, fikk vi en ny bestemmelse knyttet til å skape en god og trygg overgang mellom grunnskole og videregående opplæring.</w:t>
      </w:r>
    </w:p>
    <w:p w14:paraId="7C723F09" w14:textId="77777777" w:rsidR="00231F6F" w:rsidRDefault="00231F6F" w:rsidP="00115B7D">
      <w:pPr>
        <w:spacing w:after="0" w:line="240" w:lineRule="auto"/>
        <w:rPr>
          <w:rFonts w:cstheme="minorHAnsi"/>
        </w:rPr>
      </w:pPr>
    </w:p>
    <w:p w14:paraId="79B15475" w14:textId="5D5AC697" w:rsidR="00231F6F" w:rsidRPr="001B07D8" w:rsidRDefault="00231F6F" w:rsidP="00231F6F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«</w:t>
      </w:r>
      <w:r w:rsidRPr="001B07D8">
        <w:rPr>
          <w:rFonts w:cstheme="minorHAnsi"/>
          <w:i/>
          <w:iCs/>
        </w:rPr>
        <w:t xml:space="preserve">Fylkeskommunen skal </w:t>
      </w:r>
      <w:proofErr w:type="spellStart"/>
      <w:r w:rsidRPr="001B07D8">
        <w:rPr>
          <w:rFonts w:cstheme="minorHAnsi"/>
          <w:i/>
          <w:iCs/>
        </w:rPr>
        <w:t>sørgje</w:t>
      </w:r>
      <w:proofErr w:type="spellEnd"/>
      <w:r w:rsidRPr="001B07D8">
        <w:rPr>
          <w:rFonts w:cstheme="minorHAnsi"/>
          <w:i/>
          <w:iCs/>
        </w:rPr>
        <w:t xml:space="preserve"> for at </w:t>
      </w:r>
      <w:proofErr w:type="spellStart"/>
      <w:r w:rsidRPr="001B07D8">
        <w:rPr>
          <w:rFonts w:cstheme="minorHAnsi"/>
          <w:i/>
          <w:iCs/>
        </w:rPr>
        <w:t>elevane</w:t>
      </w:r>
      <w:proofErr w:type="spellEnd"/>
      <w:r w:rsidRPr="001B07D8">
        <w:rPr>
          <w:rFonts w:cstheme="minorHAnsi"/>
          <w:i/>
          <w:iCs/>
        </w:rPr>
        <w:t xml:space="preserve"> får </w:t>
      </w:r>
      <w:proofErr w:type="spellStart"/>
      <w:r w:rsidRPr="001B07D8">
        <w:rPr>
          <w:rFonts w:cstheme="minorHAnsi"/>
          <w:i/>
          <w:iCs/>
        </w:rPr>
        <w:t>ein</w:t>
      </w:r>
      <w:proofErr w:type="spellEnd"/>
      <w:r w:rsidRPr="001B07D8">
        <w:rPr>
          <w:rFonts w:cstheme="minorHAnsi"/>
          <w:i/>
          <w:iCs/>
        </w:rPr>
        <w:t xml:space="preserve"> trygg og god overgang </w:t>
      </w:r>
      <w:proofErr w:type="spellStart"/>
      <w:r w:rsidRPr="001B07D8">
        <w:rPr>
          <w:rFonts w:cstheme="minorHAnsi"/>
          <w:i/>
          <w:iCs/>
        </w:rPr>
        <w:t>frå</w:t>
      </w:r>
      <w:proofErr w:type="spellEnd"/>
      <w:r w:rsidRPr="001B07D8">
        <w:rPr>
          <w:rFonts w:cstheme="minorHAnsi"/>
          <w:i/>
          <w:iCs/>
        </w:rPr>
        <w:t xml:space="preserve"> grunnskolen til den </w:t>
      </w:r>
      <w:proofErr w:type="spellStart"/>
      <w:r w:rsidRPr="001B07D8">
        <w:rPr>
          <w:rFonts w:cstheme="minorHAnsi"/>
          <w:i/>
          <w:iCs/>
        </w:rPr>
        <w:t>vidaregåande</w:t>
      </w:r>
      <w:proofErr w:type="spellEnd"/>
      <w:r w:rsidRPr="001B07D8">
        <w:rPr>
          <w:rFonts w:cstheme="minorHAnsi"/>
          <w:i/>
          <w:iCs/>
        </w:rPr>
        <w:t xml:space="preserve"> opplæringa. Kommunen skal samarbeide med fylkeskommunen om overgangen.</w:t>
      </w:r>
    </w:p>
    <w:p w14:paraId="230214CD" w14:textId="13397DC7" w:rsidR="00231F6F" w:rsidRPr="001B07D8" w:rsidRDefault="00231F6F" w:rsidP="00231F6F">
      <w:pPr>
        <w:spacing w:after="0" w:line="240" w:lineRule="auto"/>
        <w:rPr>
          <w:rFonts w:cstheme="minorHAnsi"/>
          <w:i/>
          <w:iCs/>
        </w:rPr>
      </w:pPr>
      <w:r w:rsidRPr="001B07D8">
        <w:rPr>
          <w:rFonts w:cstheme="minorHAnsi"/>
          <w:i/>
          <w:iCs/>
        </w:rPr>
        <w:t xml:space="preserve">Dersom eleven skal starte i </w:t>
      </w:r>
      <w:proofErr w:type="spellStart"/>
      <w:r w:rsidRPr="001B07D8">
        <w:rPr>
          <w:rFonts w:cstheme="minorHAnsi"/>
          <w:i/>
          <w:iCs/>
        </w:rPr>
        <w:t>ein</w:t>
      </w:r>
      <w:proofErr w:type="spellEnd"/>
      <w:r w:rsidRPr="001B07D8">
        <w:rPr>
          <w:rFonts w:cstheme="minorHAnsi"/>
          <w:i/>
          <w:iCs/>
        </w:rPr>
        <w:t xml:space="preserve"> </w:t>
      </w:r>
      <w:proofErr w:type="spellStart"/>
      <w:r w:rsidRPr="001B07D8">
        <w:rPr>
          <w:rFonts w:cstheme="minorHAnsi"/>
          <w:i/>
          <w:iCs/>
        </w:rPr>
        <w:t>vidaregåande</w:t>
      </w:r>
      <w:proofErr w:type="spellEnd"/>
      <w:r w:rsidRPr="001B07D8">
        <w:rPr>
          <w:rFonts w:cstheme="minorHAnsi"/>
          <w:i/>
          <w:iCs/>
        </w:rPr>
        <w:t xml:space="preserve"> skole som er </w:t>
      </w:r>
      <w:proofErr w:type="spellStart"/>
      <w:r w:rsidRPr="001B07D8">
        <w:rPr>
          <w:rFonts w:cstheme="minorHAnsi"/>
          <w:i/>
          <w:iCs/>
        </w:rPr>
        <w:t>godkjend</w:t>
      </w:r>
      <w:proofErr w:type="spellEnd"/>
      <w:r w:rsidRPr="001B07D8">
        <w:rPr>
          <w:rFonts w:cstheme="minorHAnsi"/>
          <w:i/>
          <w:iCs/>
        </w:rPr>
        <w:t xml:space="preserve"> etter </w:t>
      </w:r>
      <w:bookmarkStart w:id="0" w:name="lov/2003-07-04-84"/>
      <w:r w:rsidRPr="001B07D8">
        <w:rPr>
          <w:rFonts w:cstheme="minorHAnsi"/>
          <w:i/>
          <w:iCs/>
        </w:rPr>
        <w:fldChar w:fldCharType="begin"/>
      </w:r>
      <w:r w:rsidRPr="001B07D8">
        <w:rPr>
          <w:rFonts w:cstheme="minorHAnsi"/>
          <w:i/>
          <w:iCs/>
        </w:rPr>
        <w:instrText>HYPERLINK "https://lovdata.no/pro/" \l "reference/lov/2003-07-04-84"</w:instrText>
      </w:r>
      <w:r w:rsidRPr="001B07D8">
        <w:rPr>
          <w:rFonts w:cstheme="minorHAnsi"/>
          <w:i/>
          <w:iCs/>
        </w:rPr>
      </w:r>
      <w:r w:rsidRPr="001B07D8">
        <w:rPr>
          <w:rFonts w:cstheme="minorHAnsi"/>
          <w:i/>
          <w:iCs/>
        </w:rPr>
        <w:fldChar w:fldCharType="separate"/>
      </w:r>
      <w:r w:rsidRPr="001B07D8">
        <w:rPr>
          <w:rStyle w:val="Hyperkobling"/>
          <w:rFonts w:cstheme="minorHAnsi"/>
          <w:i/>
          <w:iCs/>
        </w:rPr>
        <w:t>privatskolelova</w:t>
      </w:r>
      <w:r w:rsidRPr="001B07D8">
        <w:rPr>
          <w:rFonts w:cstheme="minorHAnsi"/>
          <w:i/>
          <w:iCs/>
        </w:rPr>
        <w:fldChar w:fldCharType="end"/>
      </w:r>
      <w:bookmarkEnd w:id="0"/>
      <w:r w:rsidRPr="001B07D8">
        <w:rPr>
          <w:rFonts w:cstheme="minorHAnsi"/>
          <w:i/>
          <w:iCs/>
        </w:rPr>
        <w:t xml:space="preserve">, gjeld kommunens plikt i første ledd </w:t>
      </w:r>
      <w:proofErr w:type="spellStart"/>
      <w:r w:rsidRPr="001B07D8">
        <w:rPr>
          <w:rFonts w:cstheme="minorHAnsi"/>
          <w:i/>
          <w:iCs/>
        </w:rPr>
        <w:t>tilsvarande</w:t>
      </w:r>
      <w:proofErr w:type="spellEnd"/>
      <w:r w:rsidRPr="001B07D8">
        <w:rPr>
          <w:rFonts w:cstheme="minorHAnsi"/>
          <w:i/>
          <w:iCs/>
        </w:rPr>
        <w:t xml:space="preserve"> overfor den private </w:t>
      </w:r>
      <w:proofErr w:type="spellStart"/>
      <w:r w:rsidRPr="001B07D8">
        <w:rPr>
          <w:rFonts w:cstheme="minorHAnsi"/>
          <w:i/>
          <w:iCs/>
        </w:rPr>
        <w:t>vidaregåande</w:t>
      </w:r>
      <w:proofErr w:type="spellEnd"/>
      <w:r w:rsidRPr="001B07D8">
        <w:rPr>
          <w:rFonts w:cstheme="minorHAnsi"/>
          <w:i/>
          <w:iCs/>
        </w:rPr>
        <w:t xml:space="preserve"> skolen</w:t>
      </w:r>
      <w:r>
        <w:rPr>
          <w:rFonts w:cstheme="minorHAnsi"/>
          <w:i/>
          <w:iCs/>
        </w:rPr>
        <w:t xml:space="preserve">», </w:t>
      </w:r>
      <w:proofErr w:type="spellStart"/>
      <w:r>
        <w:rPr>
          <w:rFonts w:cstheme="minorHAnsi"/>
          <w:i/>
          <w:iCs/>
        </w:rPr>
        <w:t>jf</w:t>
      </w:r>
      <w:proofErr w:type="spellEnd"/>
      <w:r>
        <w:rPr>
          <w:rFonts w:cstheme="minorHAnsi"/>
          <w:i/>
          <w:iCs/>
        </w:rPr>
        <w:t xml:space="preserve"> § 9-5.</w:t>
      </w:r>
    </w:p>
    <w:p w14:paraId="00B90F6B" w14:textId="77777777" w:rsidR="00231F6F" w:rsidRDefault="00231F6F" w:rsidP="00115B7D">
      <w:pPr>
        <w:spacing w:after="0" w:line="240" w:lineRule="auto"/>
        <w:rPr>
          <w:rFonts w:cstheme="minorHAnsi"/>
        </w:rPr>
      </w:pPr>
    </w:p>
    <w:p w14:paraId="454BEC79" w14:textId="3897C70B" w:rsidR="00115B7D" w:rsidRPr="00115B7D" w:rsidRDefault="00B05A82" w:rsidP="00115B7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Som det ble sagt </w:t>
      </w:r>
      <w:r w:rsidR="001B07D8">
        <w:rPr>
          <w:rFonts w:cstheme="minorHAnsi"/>
        </w:rPr>
        <w:t>12. mars;</w:t>
      </w:r>
      <w:r>
        <w:rPr>
          <w:rFonts w:cstheme="minorHAnsi"/>
        </w:rPr>
        <w:t xml:space="preserve"> ansvaret for kompetanse- og kvalitetsutvikling er et lokalt ansvar. Statens håndsrekning kommer både i form av støtte til lokal kompetanseutvikling - og som statlige/nasjonale tiltak.  </w:t>
      </w:r>
      <w:r w:rsidR="00EA4F81">
        <w:rPr>
          <w:rFonts w:cstheme="minorHAnsi"/>
        </w:rPr>
        <w:br/>
      </w:r>
      <w:r w:rsidR="00EA4F81">
        <w:rPr>
          <w:rFonts w:cstheme="minorHAnsi"/>
        </w:rPr>
        <w:br/>
        <w:t xml:space="preserve">Les mer om forslag til nye retningslinjer her: </w:t>
      </w:r>
      <w:hyperlink r:id="rId7" w:history="1">
        <w:r w:rsidR="00EA4F81" w:rsidRPr="00A2207D">
          <w:rPr>
            <w:rStyle w:val="Hyperkobling"/>
            <w:rFonts w:cstheme="minorHAnsi"/>
          </w:rPr>
          <w:t>Utkast til forskrifter for tre tilskuddsordninger (1).pdf</w:t>
        </w:r>
      </w:hyperlink>
    </w:p>
    <w:p w14:paraId="6F0F8A6C" w14:textId="77777777" w:rsidR="00115B7D" w:rsidRPr="00C33F51" w:rsidRDefault="00115B7D" w:rsidP="00115B7D">
      <w:pPr>
        <w:spacing w:after="0" w:line="240" w:lineRule="auto"/>
        <w:rPr>
          <w:rFonts w:cstheme="minorHAnsi"/>
        </w:rPr>
      </w:pPr>
    </w:p>
    <w:p w14:paraId="0CBBADC2" w14:textId="63BFFBA1" w:rsidR="00115B7D" w:rsidRPr="00964C9B" w:rsidRDefault="006A7CED" w:rsidP="00115B7D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e) </w:t>
      </w:r>
      <w:r w:rsidR="00964C9B">
        <w:rPr>
          <w:rFonts w:cstheme="minorHAnsi"/>
          <w:u w:val="single"/>
        </w:rPr>
        <w:t xml:space="preserve">Om </w:t>
      </w:r>
      <w:r w:rsidR="00115B7D" w:rsidRPr="00964C9B">
        <w:rPr>
          <w:rFonts w:cstheme="minorHAnsi"/>
          <w:u w:val="single"/>
        </w:rPr>
        <w:t xml:space="preserve">Samisktiltaket </w:t>
      </w:r>
    </w:p>
    <w:p w14:paraId="659BC6DE" w14:textId="2BBA2D7C" w:rsidR="00B05A82" w:rsidRDefault="00964C9B" w:rsidP="00964C9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Pulje 1 avsluttes ganske raskt. Tiltaket er ikke evaluert, men Mikael har et inntrykk av at det har fungert veldig godt. Dessverre er det ikke mange lærere/ledere som har deltatt, men det har vært deltakere fra hele Trøndelag. </w:t>
      </w:r>
      <w:r w:rsidR="00B05A82">
        <w:rPr>
          <w:rFonts w:cstheme="minorHAnsi"/>
        </w:rPr>
        <w:t xml:space="preserve">Det er gjort en stor jobb </w:t>
      </w:r>
      <w:r w:rsidR="00BE6DBC">
        <w:rPr>
          <w:rFonts w:cstheme="minorHAnsi"/>
        </w:rPr>
        <w:t>med</w:t>
      </w:r>
      <w:r w:rsidR="00B05A82">
        <w:rPr>
          <w:rFonts w:cstheme="minorHAnsi"/>
        </w:rPr>
        <w:t xml:space="preserve"> å planlegge, utvikle og realisere dette tiltaket. Det vil være kostnadskrevende å starte prosessen helt på nytt senere, og det er også eksempel på et tiltak som er kapasitetskrevende å få på plass for enkeltnettverk. Evaluering bør gjennomføres. Nettverkene bør få slik styringsinformasjon før eventuell </w:t>
      </w:r>
      <w:r w:rsidR="004056D8">
        <w:rPr>
          <w:rFonts w:cstheme="minorHAnsi"/>
        </w:rPr>
        <w:t xml:space="preserve">beslutning om </w:t>
      </w:r>
      <w:r w:rsidR="00B05A82">
        <w:rPr>
          <w:rFonts w:cstheme="minorHAnsi"/>
        </w:rPr>
        <w:t>videreføring</w:t>
      </w:r>
      <w:r w:rsidR="004056D8">
        <w:rPr>
          <w:rFonts w:cstheme="minorHAnsi"/>
        </w:rPr>
        <w:t xml:space="preserve"> i septembermøtet</w:t>
      </w:r>
      <w:r w:rsidR="00B05A82">
        <w:rPr>
          <w:rFonts w:cstheme="minorHAnsi"/>
        </w:rPr>
        <w:t>.</w:t>
      </w:r>
      <w:r w:rsidR="004056D8">
        <w:rPr>
          <w:rFonts w:cstheme="minorHAnsi"/>
        </w:rPr>
        <w:t xml:space="preserve"> </w:t>
      </w:r>
    </w:p>
    <w:p w14:paraId="27A384AF" w14:textId="77777777" w:rsidR="00B05A82" w:rsidRDefault="00B05A82" w:rsidP="00964C9B">
      <w:pPr>
        <w:spacing w:after="0" w:line="240" w:lineRule="auto"/>
        <w:rPr>
          <w:rFonts w:cstheme="minorHAnsi"/>
        </w:rPr>
      </w:pPr>
    </w:p>
    <w:p w14:paraId="57BFC201" w14:textId="5A6A9ED2" w:rsidR="004056D8" w:rsidRDefault="004056D8" w:rsidP="004056D8">
      <w:pPr>
        <w:spacing w:after="0" w:line="240" w:lineRule="auto"/>
        <w:rPr>
          <w:rFonts w:cstheme="minorHAnsi"/>
        </w:rPr>
      </w:pPr>
      <w:r>
        <w:rPr>
          <w:rFonts w:cstheme="minorHAnsi"/>
        </w:rPr>
        <w:t>Mikael</w:t>
      </w:r>
      <w:r w:rsidRPr="00115B7D">
        <w:rPr>
          <w:rFonts w:cstheme="minorHAnsi"/>
        </w:rPr>
        <w:t xml:space="preserve"> </w:t>
      </w:r>
      <w:r>
        <w:rPr>
          <w:rFonts w:cstheme="minorHAnsi"/>
        </w:rPr>
        <w:t>mener</w:t>
      </w:r>
      <w:r w:rsidRPr="00115B7D">
        <w:rPr>
          <w:rFonts w:cstheme="minorHAnsi"/>
        </w:rPr>
        <w:t xml:space="preserve"> det ikke må settes av midler før eventuelt til neste år. </w:t>
      </w:r>
      <w:r w:rsidR="00BE6DBC">
        <w:rPr>
          <w:rFonts w:cstheme="minorHAnsi"/>
        </w:rPr>
        <w:t>Malvik/Trondheim-nettverket har lagt inn</w:t>
      </w:r>
      <w:r w:rsidRPr="00115B7D">
        <w:rPr>
          <w:rFonts w:cstheme="minorHAnsi"/>
        </w:rPr>
        <w:t xml:space="preserve"> </w:t>
      </w:r>
      <w:r>
        <w:rPr>
          <w:rFonts w:cstheme="minorHAnsi"/>
        </w:rPr>
        <w:t xml:space="preserve">kroner </w:t>
      </w:r>
      <w:r w:rsidRPr="00115B7D">
        <w:rPr>
          <w:rFonts w:cstheme="minorHAnsi"/>
        </w:rPr>
        <w:t xml:space="preserve">100 000 </w:t>
      </w:r>
      <w:r w:rsidR="00BE6DBC">
        <w:rPr>
          <w:rFonts w:cstheme="minorHAnsi"/>
        </w:rPr>
        <w:t xml:space="preserve">i sitt beslutningsgrunnlag for 2025. </w:t>
      </w:r>
      <w:r>
        <w:rPr>
          <w:rFonts w:cstheme="minorHAnsi"/>
        </w:rPr>
        <w:t>Mikael mener det</w:t>
      </w:r>
      <w:r w:rsidRPr="00115B7D">
        <w:rPr>
          <w:rFonts w:cstheme="minorHAnsi"/>
        </w:rPr>
        <w:t xml:space="preserve"> bør holde både </w:t>
      </w:r>
      <w:r>
        <w:rPr>
          <w:rFonts w:cstheme="minorHAnsi"/>
        </w:rPr>
        <w:t xml:space="preserve">til </w:t>
      </w:r>
      <w:r w:rsidRPr="00115B7D">
        <w:rPr>
          <w:rFonts w:cstheme="minorHAnsi"/>
        </w:rPr>
        <w:t xml:space="preserve">evaluering og justeringer før en eventuell oppstart til høsten </w:t>
      </w:r>
      <w:r>
        <w:rPr>
          <w:rFonts w:cstheme="minorHAnsi"/>
        </w:rPr>
        <w:t xml:space="preserve">- </w:t>
      </w:r>
      <w:r w:rsidRPr="00115B7D">
        <w:rPr>
          <w:rFonts w:cstheme="minorHAnsi"/>
        </w:rPr>
        <w:t>eller helst neste år.</w:t>
      </w:r>
      <w:r>
        <w:rPr>
          <w:rFonts w:cstheme="minorHAnsi"/>
        </w:rPr>
        <w:t xml:space="preserve"> Samarbeidsforum tar dette med i vurderingen av restmidler i sak 9/2025</w:t>
      </w:r>
      <w:r w:rsidR="00BE6DBC">
        <w:rPr>
          <w:rFonts w:cstheme="minorHAnsi"/>
        </w:rPr>
        <w:t>.</w:t>
      </w:r>
    </w:p>
    <w:p w14:paraId="3B5036D8" w14:textId="77777777" w:rsidR="004056D8" w:rsidRDefault="004056D8" w:rsidP="004056D8">
      <w:pPr>
        <w:spacing w:after="0" w:line="240" w:lineRule="auto"/>
        <w:rPr>
          <w:rFonts w:cstheme="minorHAnsi"/>
        </w:rPr>
      </w:pPr>
    </w:p>
    <w:p w14:paraId="386EEE5B" w14:textId="35E95D59" w:rsidR="00964C9B" w:rsidRDefault="00964C9B" w:rsidP="00964C9B">
      <w:pPr>
        <w:spacing w:after="0" w:line="240" w:lineRule="auto"/>
        <w:rPr>
          <w:rFonts w:cstheme="minorHAnsi"/>
        </w:rPr>
      </w:pPr>
      <w:r>
        <w:rPr>
          <w:rFonts w:cstheme="minorHAnsi"/>
        </w:rPr>
        <w:t>Statsforvalteren i Nordlan</w:t>
      </w:r>
      <w:r w:rsidR="00886944">
        <w:rPr>
          <w:rFonts w:cstheme="minorHAnsi"/>
        </w:rPr>
        <w:t>d</w:t>
      </w:r>
      <w:r>
        <w:rPr>
          <w:rFonts w:cstheme="minorHAnsi"/>
        </w:rPr>
        <w:t xml:space="preserve"> </w:t>
      </w:r>
      <w:r w:rsidR="00886944">
        <w:rPr>
          <w:rFonts w:cstheme="minorHAnsi"/>
        </w:rPr>
        <w:t>vil bli</w:t>
      </w:r>
      <w:r>
        <w:rPr>
          <w:rFonts w:cstheme="minorHAnsi"/>
        </w:rPr>
        <w:t xml:space="preserve"> gitt ansvaret for </w:t>
      </w:r>
      <w:r w:rsidR="00886944">
        <w:rPr>
          <w:rFonts w:cstheme="minorHAnsi"/>
        </w:rPr>
        <w:t xml:space="preserve">nasjonalt samarbeidsforum knyttet til samiske perspektiv. Statsforvalteren i Trøndelag vil </w:t>
      </w:r>
      <w:r>
        <w:rPr>
          <w:rFonts w:cstheme="minorHAnsi"/>
        </w:rPr>
        <w:t xml:space="preserve">informere SF i Nordland om </w:t>
      </w:r>
      <w:r w:rsidR="00886944">
        <w:rPr>
          <w:rFonts w:cstheme="minorHAnsi"/>
        </w:rPr>
        <w:t>tiltaket gjennomført i Trøndelag</w:t>
      </w:r>
      <w:r>
        <w:rPr>
          <w:rFonts w:cstheme="minorHAnsi"/>
        </w:rPr>
        <w:t xml:space="preserve">. </w:t>
      </w:r>
      <w:r w:rsidR="008B2FF4">
        <w:rPr>
          <w:rFonts w:cstheme="minorHAnsi"/>
        </w:rPr>
        <w:br/>
      </w:r>
      <w:r w:rsidR="008B2FF4">
        <w:rPr>
          <w:rFonts w:cstheme="minorHAnsi"/>
        </w:rPr>
        <w:br/>
        <w:t xml:space="preserve">Her er lenke til planen for tiltaket: </w:t>
      </w:r>
      <w:hyperlink r:id="rId8" w:history="1">
        <w:r w:rsidR="008B2FF4" w:rsidRPr="008B2FF4">
          <w:rPr>
            <w:color w:val="0000FF"/>
            <w:u w:val="single"/>
          </w:rPr>
          <w:t>DEKOM kompetansepakke samisk.docx - Google Dokumenter</w:t>
        </w:r>
      </w:hyperlink>
    </w:p>
    <w:p w14:paraId="3AFFF742" w14:textId="77777777" w:rsidR="00964C9B" w:rsidRDefault="00964C9B" w:rsidP="00115B7D">
      <w:pPr>
        <w:spacing w:after="0" w:line="240" w:lineRule="auto"/>
        <w:rPr>
          <w:rFonts w:cstheme="minorHAnsi"/>
        </w:rPr>
      </w:pPr>
    </w:p>
    <w:p w14:paraId="5B1D424D" w14:textId="54405A39" w:rsidR="00300545" w:rsidRDefault="006A7CED" w:rsidP="00300545">
      <w:pPr>
        <w:spacing w:after="0" w:line="240" w:lineRule="auto"/>
        <w:rPr>
          <w:rFonts w:cstheme="minorHAnsi"/>
        </w:rPr>
      </w:pPr>
      <w:r w:rsidRPr="001B07D8">
        <w:rPr>
          <w:rFonts w:cstheme="minorHAnsi"/>
          <w:u w:val="single"/>
        </w:rPr>
        <w:t>f) «Matematikkløftet»</w:t>
      </w:r>
      <w:r>
        <w:rPr>
          <w:rFonts w:cstheme="minorHAnsi"/>
        </w:rPr>
        <w:br/>
      </w:r>
      <w:r w:rsidR="00300545">
        <w:rPr>
          <w:rFonts w:cstheme="minorHAnsi"/>
        </w:rPr>
        <w:t xml:space="preserve">I </w:t>
      </w:r>
      <w:hyperlink r:id="rId9" w:tgtFrame="_blank" w:history="1">
        <w:r w:rsidR="00300545" w:rsidRPr="00300545">
          <w:rPr>
            <w:rStyle w:val="Hyperkobling"/>
            <w:rFonts w:cstheme="minorHAnsi"/>
          </w:rPr>
          <w:t>Meld.St.34 "En mer praktisk skole"</w:t>
        </w:r>
      </w:hyperlink>
      <w:r w:rsidR="00300545" w:rsidRPr="00300545">
        <w:rPr>
          <w:rFonts w:cstheme="minorHAnsi"/>
        </w:rPr>
        <w:t xml:space="preserve"> ble </w:t>
      </w:r>
      <w:r w:rsidR="00300545">
        <w:rPr>
          <w:rFonts w:cstheme="minorHAnsi"/>
        </w:rPr>
        <w:t>Matematikksenteret</w:t>
      </w:r>
      <w:r w:rsidR="00300545" w:rsidRPr="00300545">
        <w:rPr>
          <w:rFonts w:cstheme="minorHAnsi"/>
        </w:rPr>
        <w:t xml:space="preserve"> tildelt en sentral rolle i en helhetlig satsing på matematikk. Oppdraget </w:t>
      </w:r>
      <w:r w:rsidR="00300545">
        <w:rPr>
          <w:rFonts w:cstheme="minorHAnsi"/>
        </w:rPr>
        <w:t xml:space="preserve">er gitt av </w:t>
      </w:r>
      <w:r w:rsidR="00300545" w:rsidRPr="00300545">
        <w:rPr>
          <w:rFonts w:cstheme="minorHAnsi"/>
        </w:rPr>
        <w:t>Kunnskapsdepartementet</w:t>
      </w:r>
      <w:r w:rsidR="00300545">
        <w:rPr>
          <w:rFonts w:cstheme="minorHAnsi"/>
        </w:rPr>
        <w:t>. Matematikksenteret</w:t>
      </w:r>
      <w:r w:rsidR="00300545" w:rsidRPr="00300545">
        <w:rPr>
          <w:rFonts w:cstheme="minorHAnsi"/>
        </w:rPr>
        <w:t xml:space="preserve"> </w:t>
      </w:r>
      <w:r w:rsidR="00300545">
        <w:rPr>
          <w:rFonts w:cstheme="minorHAnsi"/>
        </w:rPr>
        <w:t xml:space="preserve">skal </w:t>
      </w:r>
      <w:r w:rsidR="00300545" w:rsidRPr="00300545">
        <w:rPr>
          <w:rFonts w:cstheme="minorHAnsi"/>
        </w:rPr>
        <w:t>utvikle læringsressurser, bidra i lokal kompetanseutvikling og støtte skolene i å gjøre undervisningen i matematikk mer motiverende, variert og relevant.</w:t>
      </w:r>
    </w:p>
    <w:p w14:paraId="164B554C" w14:textId="77777777" w:rsidR="00300545" w:rsidRDefault="00300545" w:rsidP="00300545">
      <w:pPr>
        <w:spacing w:after="0" w:line="240" w:lineRule="auto"/>
        <w:rPr>
          <w:rFonts w:cstheme="minorHAnsi"/>
        </w:rPr>
      </w:pPr>
    </w:p>
    <w:p w14:paraId="495FEEA2" w14:textId="6182AED3" w:rsidR="00300545" w:rsidRPr="00300545" w:rsidRDefault="00300545" w:rsidP="00300545">
      <w:pPr>
        <w:spacing w:after="0" w:line="240" w:lineRule="auto"/>
        <w:rPr>
          <w:rFonts w:cstheme="minorHAnsi"/>
        </w:rPr>
      </w:pPr>
      <w:r w:rsidRPr="00300545">
        <w:rPr>
          <w:rFonts w:cstheme="minorHAnsi"/>
        </w:rPr>
        <w:t xml:space="preserve">For å lese mer om satsingen kan du </w:t>
      </w:r>
      <w:r>
        <w:rPr>
          <w:rFonts w:cstheme="minorHAnsi"/>
        </w:rPr>
        <w:t xml:space="preserve">se i presentasjonen, eller </w:t>
      </w:r>
      <w:r w:rsidRPr="00300545">
        <w:rPr>
          <w:rFonts w:cstheme="minorHAnsi"/>
        </w:rPr>
        <w:t xml:space="preserve">gå inn på denne lenken:  </w:t>
      </w:r>
    </w:p>
    <w:p w14:paraId="047C0D0C" w14:textId="7F1F8D69" w:rsidR="00300545" w:rsidRPr="00300545" w:rsidRDefault="00300545" w:rsidP="00300545">
      <w:pPr>
        <w:spacing w:after="0" w:line="240" w:lineRule="auto"/>
        <w:rPr>
          <w:rFonts w:cstheme="minorHAnsi"/>
        </w:rPr>
      </w:pPr>
      <w:hyperlink r:id="rId10" w:history="1">
        <w:r w:rsidRPr="00300545">
          <w:rPr>
            <w:rStyle w:val="Hyperkobling"/>
            <w:rFonts w:cstheme="minorHAnsi"/>
          </w:rPr>
          <w:t>Slik blir den nasjonale satsingen i matematikk | Matematikksenteret</w:t>
        </w:r>
      </w:hyperlink>
      <w:r w:rsidR="006A7CED">
        <w:br/>
      </w:r>
      <w:r w:rsidR="006A7CED">
        <w:br/>
      </w:r>
      <w:r w:rsidR="00EF1384" w:rsidRPr="001B07D8">
        <w:rPr>
          <w:u w:val="single"/>
        </w:rPr>
        <w:t xml:space="preserve">g) Oppfølgingsordningen – nytt uttrekk i 2025. </w:t>
      </w:r>
      <w:r w:rsidR="00D926DC">
        <w:br/>
        <w:t xml:space="preserve">Statsforvalterne har </w:t>
      </w:r>
      <w:r w:rsidR="001B07D8">
        <w:t xml:space="preserve">fått en </w:t>
      </w:r>
      <w:r w:rsidR="00D926DC">
        <w:t>større rolle i å vurdere hvem som skal få tilbud om deltakelse. For kompetansenettverkene vil det bli viktig å ta hensyn til kommuner som deltar i oppfølgingsordningen – og se tiltak i sammenheng.</w:t>
      </w:r>
    </w:p>
    <w:p w14:paraId="6D2FFD0E" w14:textId="77777777" w:rsidR="00D926DC" w:rsidRDefault="00D926DC" w:rsidP="00115B7D">
      <w:pPr>
        <w:spacing w:after="0" w:line="240" w:lineRule="auto"/>
        <w:rPr>
          <w:rFonts w:cstheme="minorHAnsi"/>
        </w:rPr>
      </w:pPr>
    </w:p>
    <w:p w14:paraId="28755A0C" w14:textId="4C854A7D" w:rsidR="00F867F0" w:rsidRPr="004D7E46" w:rsidRDefault="00D926DC" w:rsidP="00F867F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h) </w:t>
      </w:r>
      <w:proofErr w:type="spellStart"/>
      <w:r w:rsidR="0031170C">
        <w:rPr>
          <w:rFonts w:cstheme="minorHAnsi"/>
        </w:rPr>
        <w:t>Udir</w:t>
      </w:r>
      <w:proofErr w:type="spellEnd"/>
      <w:r w:rsidR="0031170C">
        <w:rPr>
          <w:rFonts w:cstheme="minorHAnsi"/>
        </w:rPr>
        <w:t xml:space="preserve"> </w:t>
      </w:r>
      <w:r>
        <w:rPr>
          <w:rFonts w:cstheme="minorHAnsi"/>
        </w:rPr>
        <w:t xml:space="preserve">arrangerer </w:t>
      </w:r>
      <w:r w:rsidR="0031170C">
        <w:rPr>
          <w:rFonts w:cstheme="minorHAnsi"/>
        </w:rPr>
        <w:t>webinarer om utvalgte tema</w:t>
      </w:r>
      <w:r>
        <w:rPr>
          <w:rFonts w:cstheme="minorHAnsi"/>
        </w:rPr>
        <w:t xml:space="preserve"> knyttet til læreplanen</w:t>
      </w:r>
      <w:r w:rsidR="001B07D8">
        <w:rPr>
          <w:rFonts w:cstheme="minorHAnsi"/>
        </w:rPr>
        <w:t>,</w:t>
      </w:r>
      <w:r>
        <w:rPr>
          <w:rFonts w:cstheme="minorHAnsi"/>
        </w:rPr>
        <w:t xml:space="preserve"> om bruk av profesjonelle læringsfellesskap, tverrfaglige tema etc. Det anbefales å ta en titt her: </w:t>
      </w:r>
      <w:hyperlink r:id="rId11" w:history="1">
        <w:r w:rsidRPr="00D926DC">
          <w:rPr>
            <w:color w:val="0000FF"/>
            <w:u w:val="single"/>
          </w:rPr>
          <w:t>Kalender | udir.no</w:t>
        </w:r>
      </w:hyperlink>
      <w:r w:rsidR="00F867F0" w:rsidRPr="00811B2B">
        <w:rPr>
          <w:rFonts w:cstheme="minorHAnsi"/>
        </w:rPr>
        <w:tab/>
      </w:r>
      <w:r w:rsidR="00F867F0" w:rsidRPr="004D7E46">
        <w:rPr>
          <w:rFonts w:cstheme="minorHAnsi"/>
        </w:rPr>
        <w:tab/>
      </w:r>
      <w:r w:rsidR="00F867F0" w:rsidRPr="004D7E46">
        <w:rPr>
          <w:rFonts w:cstheme="minorHAnsi"/>
        </w:rPr>
        <w:tab/>
      </w:r>
      <w:r w:rsidR="00F867F0" w:rsidRPr="004D7E46">
        <w:rPr>
          <w:rFonts w:cstheme="minorHAnsi"/>
        </w:rPr>
        <w:tab/>
      </w:r>
      <w:r w:rsidR="00F867F0" w:rsidRPr="004D7E46">
        <w:rPr>
          <w:rFonts w:cstheme="minorHAnsi"/>
        </w:rPr>
        <w:tab/>
      </w:r>
      <w:r w:rsidR="00F867F0" w:rsidRPr="004D7E46">
        <w:rPr>
          <w:rFonts w:cstheme="minorHAnsi"/>
        </w:rPr>
        <w:tab/>
      </w:r>
      <w:r w:rsidR="00F867F0" w:rsidRPr="004D7E46">
        <w:rPr>
          <w:rFonts w:cstheme="minorHAnsi"/>
        </w:rPr>
        <w:tab/>
      </w:r>
    </w:p>
    <w:p w14:paraId="49C94288" w14:textId="60AAED18" w:rsidR="00115B7D" w:rsidRPr="00ED1304" w:rsidRDefault="00F867F0" w:rsidP="00F867F0">
      <w:pPr>
        <w:spacing w:after="0" w:line="240" w:lineRule="auto"/>
        <w:rPr>
          <w:rFonts w:cstheme="minorHAnsi"/>
          <w:b/>
          <w:bCs/>
        </w:rPr>
      </w:pPr>
      <w:r w:rsidRPr="004D7E46">
        <w:rPr>
          <w:rFonts w:cstheme="minorHAnsi"/>
          <w:b/>
          <w:bCs/>
        </w:rPr>
        <w:t xml:space="preserve">Sak </w:t>
      </w:r>
      <w:r>
        <w:rPr>
          <w:rFonts w:cstheme="minorHAnsi"/>
          <w:b/>
          <w:bCs/>
        </w:rPr>
        <w:t>7</w:t>
      </w:r>
      <w:r w:rsidRPr="004D7E46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5</w:t>
      </w:r>
      <w:r w:rsidRPr="004D7E46">
        <w:rPr>
          <w:rFonts w:cstheme="minorHAnsi"/>
          <w:b/>
          <w:bCs/>
        </w:rPr>
        <w:tab/>
      </w:r>
      <w:r w:rsidR="00ED1304">
        <w:rPr>
          <w:rFonts w:cstheme="minorHAnsi"/>
          <w:b/>
          <w:bCs/>
        </w:rPr>
        <w:t>Temanotat 7 -</w:t>
      </w:r>
      <w:r w:rsidR="00ED1304" w:rsidRPr="00ED1304">
        <w:rPr>
          <w:rFonts w:cstheme="minorHAnsi"/>
          <w:b/>
          <w:bCs/>
        </w:rPr>
        <w:t>Lokale utviklingstiltak og partnerskap med universitets- og høyskolesektoren</w:t>
      </w:r>
      <w:r w:rsidR="00D926DC">
        <w:rPr>
          <w:rFonts w:cstheme="minorHAnsi"/>
          <w:b/>
          <w:bCs/>
        </w:rPr>
        <w:t xml:space="preserve"> v/Knut Fossestøl, OsloMet</w:t>
      </w:r>
      <w:r w:rsidR="00ED1304">
        <w:rPr>
          <w:rFonts w:cstheme="minorHAnsi"/>
          <w:b/>
          <w:bCs/>
        </w:rPr>
        <w:t xml:space="preserve"> </w:t>
      </w:r>
    </w:p>
    <w:p w14:paraId="287E39FD" w14:textId="025B1374" w:rsidR="00115B7D" w:rsidRDefault="00ED1304" w:rsidP="00F867F0">
      <w:pPr>
        <w:spacing w:after="0" w:line="240" w:lineRule="auto"/>
        <w:rPr>
          <w:rFonts w:cstheme="minorHAnsi"/>
        </w:rPr>
      </w:pPr>
      <w:r w:rsidRPr="00ED1304">
        <w:rPr>
          <w:rFonts w:cstheme="minorHAnsi"/>
        </w:rPr>
        <w:t>OsloMet har fått i oppdrag å evaluere de</w:t>
      </w:r>
      <w:r w:rsidR="00231414">
        <w:rPr>
          <w:rFonts w:cstheme="minorHAnsi"/>
        </w:rPr>
        <w:t>n</w:t>
      </w:r>
      <w:r w:rsidRPr="00ED1304">
        <w:rPr>
          <w:rFonts w:cstheme="minorHAnsi"/>
        </w:rPr>
        <w:t xml:space="preserve"> desentraliserte ordningen for kompetanseutvikling for grunnopplæring</w:t>
      </w:r>
      <w:r>
        <w:rPr>
          <w:rFonts w:cstheme="minorHAnsi"/>
        </w:rPr>
        <w:t>. Knut Fossestøl presenterte essensen fra Temanotat 7</w:t>
      </w:r>
      <w:r w:rsidR="00231414">
        <w:rPr>
          <w:rFonts w:cstheme="minorHAnsi"/>
        </w:rPr>
        <w:t>, samt at han løftet opp noen anbefalinger for videreutviklingen av ordningen</w:t>
      </w:r>
      <w:r>
        <w:rPr>
          <w:rFonts w:cstheme="minorHAnsi"/>
        </w:rPr>
        <w:t xml:space="preserve">. </w:t>
      </w:r>
      <w:r w:rsidRPr="00ED1304">
        <w:rPr>
          <w:rFonts w:cstheme="minorHAnsi"/>
        </w:rPr>
        <w:t xml:space="preserve">Temanotatet tar for seg en casestudie av fire skolers tiltak </w:t>
      </w:r>
      <w:r w:rsidR="00231414">
        <w:rPr>
          <w:rFonts w:cstheme="minorHAnsi"/>
        </w:rPr>
        <w:t xml:space="preserve">(i Trøndelag og Rogaland) </w:t>
      </w:r>
      <w:r w:rsidRPr="00ED1304">
        <w:rPr>
          <w:rFonts w:cstheme="minorHAnsi"/>
        </w:rPr>
        <w:t>innenfor rammen av desentralisert ordning for kompetanseutvikling. I notatet beskrive</w:t>
      </w:r>
      <w:r>
        <w:rPr>
          <w:rFonts w:cstheme="minorHAnsi"/>
        </w:rPr>
        <w:t>s</w:t>
      </w:r>
      <w:r w:rsidRPr="00ED1304">
        <w:rPr>
          <w:rFonts w:cstheme="minorHAnsi"/>
        </w:rPr>
        <w:t xml:space="preserve"> </w:t>
      </w:r>
      <w:r w:rsidR="00231414">
        <w:rPr>
          <w:rFonts w:cstheme="minorHAnsi"/>
        </w:rPr>
        <w:t xml:space="preserve">typene </w:t>
      </w:r>
      <w:r w:rsidRPr="00ED1304">
        <w:rPr>
          <w:rFonts w:cstheme="minorHAnsi"/>
        </w:rPr>
        <w:t xml:space="preserve">tiltak, og </w:t>
      </w:r>
      <w:r w:rsidR="00231414">
        <w:rPr>
          <w:rFonts w:cstheme="minorHAnsi"/>
        </w:rPr>
        <w:t xml:space="preserve">det </w:t>
      </w:r>
      <w:r w:rsidRPr="00ED1304">
        <w:rPr>
          <w:rFonts w:cstheme="minorHAnsi"/>
        </w:rPr>
        <w:t>drøfte</w:t>
      </w:r>
      <w:r w:rsidR="00231414">
        <w:rPr>
          <w:rFonts w:cstheme="minorHAnsi"/>
        </w:rPr>
        <w:t>s</w:t>
      </w:r>
      <w:r w:rsidRPr="00ED1304">
        <w:rPr>
          <w:rFonts w:cstheme="minorHAnsi"/>
        </w:rPr>
        <w:t xml:space="preserve"> suksesskriterier og måloppnåelse </w:t>
      </w:r>
      <w:r w:rsidR="00231414">
        <w:rPr>
          <w:rFonts w:cstheme="minorHAnsi"/>
        </w:rPr>
        <w:t xml:space="preserve">av de ulike </w:t>
      </w:r>
      <w:r w:rsidR="001B07D8">
        <w:rPr>
          <w:rFonts w:cstheme="minorHAnsi"/>
        </w:rPr>
        <w:t xml:space="preserve">tiltakene </w:t>
      </w:r>
      <w:r w:rsidRPr="00ED1304">
        <w:rPr>
          <w:rFonts w:cstheme="minorHAnsi"/>
        </w:rPr>
        <w:t>opp mot kriteriene som gjelder for ordningen.</w:t>
      </w:r>
    </w:p>
    <w:p w14:paraId="61F569D7" w14:textId="77777777" w:rsidR="00ED1304" w:rsidRDefault="00ED1304" w:rsidP="00F867F0">
      <w:pPr>
        <w:spacing w:after="0" w:line="240" w:lineRule="auto"/>
        <w:rPr>
          <w:rFonts w:cstheme="minorHAnsi"/>
        </w:rPr>
      </w:pPr>
    </w:p>
    <w:p w14:paraId="5CC8BEEB" w14:textId="2D3A37DA" w:rsidR="00DD78AC" w:rsidRDefault="00ED1304" w:rsidP="00F867F0">
      <w:pPr>
        <w:spacing w:after="0" w:line="240" w:lineRule="auto"/>
        <w:rPr>
          <w:color w:val="0000FF"/>
          <w:u w:val="single"/>
        </w:rPr>
      </w:pPr>
      <w:r>
        <w:rPr>
          <w:rFonts w:cstheme="minorHAnsi"/>
        </w:rPr>
        <w:t>Temanotatet kan leses i s</w:t>
      </w:r>
      <w:r w:rsidR="00DB4D96">
        <w:rPr>
          <w:rFonts w:cstheme="minorHAnsi"/>
        </w:rPr>
        <w:t>i</w:t>
      </w:r>
      <w:r>
        <w:rPr>
          <w:rFonts w:cstheme="minorHAnsi"/>
        </w:rPr>
        <w:t xml:space="preserve">n helhet her: </w:t>
      </w:r>
      <w:hyperlink r:id="rId12" w:history="1">
        <w:r w:rsidRPr="00ED1304">
          <w:rPr>
            <w:rStyle w:val="Hyperkobling"/>
            <w:rFonts w:cstheme="minorHAnsi"/>
          </w:rPr>
          <w:t>Hvordan lykkes med lokal kompetanseutvikling i praksis? | udir.no</w:t>
        </w:r>
      </w:hyperlink>
      <w:r w:rsidR="00231414">
        <w:t xml:space="preserve">.  </w:t>
      </w:r>
      <w:r w:rsidR="00231414" w:rsidRPr="00DB4D96">
        <w:t>Presentasjonen til Knut Fossestøl er lagt inn i presentasjonen fra møtet.</w:t>
      </w:r>
      <w:r w:rsidR="00DD78AC">
        <w:br/>
      </w:r>
      <w:r w:rsidR="00DD78AC">
        <w:br/>
        <w:t>Det er også verdt å merke seg NTNUs evaluering av ett av de samme tiltakene som ble beskrevet i temanotat 7</w:t>
      </w:r>
      <w:r w:rsidR="00DB4D96">
        <w:t xml:space="preserve">. </w:t>
      </w:r>
      <w:r w:rsidR="00DD78AC" w:rsidRPr="00DB4D96">
        <w:t xml:space="preserve">Du finner det her: </w:t>
      </w:r>
      <w:hyperlink r:id="rId13" w:history="1">
        <w:r w:rsidR="00DD78AC" w:rsidRPr="00DB4D96">
          <w:rPr>
            <w:rStyle w:val="Hyperkobling"/>
            <w:color w:val="auto"/>
          </w:rPr>
          <w:t>https://utdanningogpraksis.no/index.php/up/article/view/6371</w:t>
        </w:r>
      </w:hyperlink>
    </w:p>
    <w:p w14:paraId="34F3F570" w14:textId="77777777" w:rsidR="00ED1304" w:rsidRDefault="00ED1304" w:rsidP="00F867F0">
      <w:pPr>
        <w:spacing w:after="0" w:line="240" w:lineRule="auto"/>
        <w:rPr>
          <w:rFonts w:cstheme="minorHAnsi"/>
        </w:rPr>
      </w:pPr>
    </w:p>
    <w:p w14:paraId="390C592C" w14:textId="59ADFBF6" w:rsidR="00F867F0" w:rsidRPr="00115B7D" w:rsidRDefault="00ED1304" w:rsidP="00F867F0">
      <w:pPr>
        <w:spacing w:after="0" w:line="240" w:lineRule="auto"/>
        <w:rPr>
          <w:rFonts w:cstheme="minorHAnsi"/>
          <w:b/>
          <w:bCs/>
        </w:rPr>
      </w:pPr>
      <w:r w:rsidRPr="00EA4F81">
        <w:rPr>
          <w:rFonts w:cstheme="minorHAnsi"/>
        </w:rPr>
        <w:t>Før påske 2025 vil det foreligge en ny rapport</w:t>
      </w:r>
      <w:r w:rsidR="001B07D8" w:rsidRPr="00EA4F81">
        <w:rPr>
          <w:rFonts w:cstheme="minorHAnsi"/>
        </w:rPr>
        <w:t xml:space="preserve"> fra OsloMet</w:t>
      </w:r>
      <w:r w:rsidRPr="00EA4F81">
        <w:rPr>
          <w:rFonts w:cstheme="minorHAnsi"/>
        </w:rPr>
        <w:t xml:space="preserve">. Her vil fokuset være på strukturelle suksesskriterier </w:t>
      </w:r>
      <w:r w:rsidR="00F1339E" w:rsidRPr="00EA4F81">
        <w:rPr>
          <w:rFonts w:cstheme="minorHAnsi"/>
        </w:rPr>
        <w:t xml:space="preserve">for </w:t>
      </w:r>
      <w:r w:rsidRPr="00EA4F81">
        <w:rPr>
          <w:rFonts w:cstheme="minorHAnsi"/>
        </w:rPr>
        <w:t>arbeid i kompetansenettverk. Dette notatet bør være av interesse for kompetansenettve</w:t>
      </w:r>
      <w:r w:rsidR="00F1339E" w:rsidRPr="00EA4F81">
        <w:rPr>
          <w:rFonts w:cstheme="minorHAnsi"/>
        </w:rPr>
        <w:t>r</w:t>
      </w:r>
      <w:r w:rsidRPr="00EA4F81">
        <w:rPr>
          <w:rFonts w:cstheme="minorHAnsi"/>
        </w:rPr>
        <w:t xml:space="preserve">kene </w:t>
      </w:r>
      <w:r w:rsidR="00F1339E" w:rsidRPr="00EA4F81">
        <w:rPr>
          <w:rFonts w:cstheme="minorHAnsi"/>
        </w:rPr>
        <w:t>som forberedelse til nye retningslinjer for kollektiv kompetanseutvikling for barnehage og grunnskole.</w:t>
      </w:r>
      <w:r w:rsidR="00A2207D">
        <w:rPr>
          <w:rFonts w:cstheme="minorHAnsi"/>
        </w:rPr>
        <w:t xml:space="preserve"> </w:t>
      </w:r>
      <w:r w:rsidR="00231414">
        <w:br/>
      </w:r>
      <w:r w:rsidR="00231414">
        <w:br/>
      </w:r>
      <w:r w:rsidR="00115B7D" w:rsidRPr="00115B7D">
        <w:rPr>
          <w:rFonts w:cstheme="minorHAnsi"/>
          <w:b/>
          <w:bCs/>
        </w:rPr>
        <w:t xml:space="preserve">Sak 8/2025 </w:t>
      </w:r>
      <w:r w:rsidR="00115B7D" w:rsidRPr="00115B7D">
        <w:rPr>
          <w:rFonts w:cstheme="minorHAnsi"/>
          <w:b/>
          <w:bCs/>
        </w:rPr>
        <w:tab/>
        <w:t>Fellestiltakene</w:t>
      </w:r>
      <w:r w:rsidR="0053740B">
        <w:rPr>
          <w:rFonts w:cstheme="minorHAnsi"/>
          <w:b/>
          <w:bCs/>
        </w:rPr>
        <w:t xml:space="preserve"> i Dekom</w:t>
      </w:r>
      <w:r w:rsidR="00F867F0" w:rsidRPr="00115B7D">
        <w:rPr>
          <w:rFonts w:cstheme="minorHAnsi"/>
          <w:b/>
          <w:bCs/>
        </w:rPr>
        <w:tab/>
      </w:r>
      <w:r w:rsidR="00F867F0" w:rsidRPr="00115B7D">
        <w:rPr>
          <w:rFonts w:cstheme="minorHAnsi"/>
          <w:b/>
          <w:bCs/>
        </w:rPr>
        <w:tab/>
      </w:r>
      <w:r w:rsidR="00F867F0" w:rsidRPr="00115B7D">
        <w:rPr>
          <w:rFonts w:cstheme="minorHAnsi"/>
          <w:b/>
          <w:bCs/>
        </w:rPr>
        <w:tab/>
      </w:r>
    </w:p>
    <w:p w14:paraId="013F6097" w14:textId="5E41FD3F" w:rsidR="00D95737" w:rsidRPr="00D95737" w:rsidRDefault="00D95737" w:rsidP="00E44E3D">
      <w:pPr>
        <w:spacing w:after="0" w:line="240" w:lineRule="auto"/>
        <w:rPr>
          <w:rFonts w:cstheme="minorHAnsi"/>
        </w:rPr>
      </w:pPr>
      <w:r w:rsidRPr="00D95737">
        <w:rPr>
          <w:rFonts w:cstheme="minorHAnsi"/>
        </w:rPr>
        <w:t>Samarbeidsforum ble</w:t>
      </w:r>
      <w:r w:rsidR="00300545">
        <w:rPr>
          <w:rFonts w:cstheme="minorHAnsi"/>
        </w:rPr>
        <w:t xml:space="preserve">, i januarmøtet, </w:t>
      </w:r>
      <w:r w:rsidRPr="00D95737">
        <w:rPr>
          <w:rFonts w:cstheme="minorHAnsi"/>
        </w:rPr>
        <w:t>enige om følgende oppfølging til marsmøtet:</w:t>
      </w:r>
    </w:p>
    <w:p w14:paraId="45B88DAC" w14:textId="77777777" w:rsidR="00E44E3D" w:rsidRDefault="00D95737" w:rsidP="00F447F5">
      <w:pPr>
        <w:pStyle w:val="Listeavsnit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F447F5">
        <w:rPr>
          <w:rFonts w:cstheme="minorHAnsi"/>
        </w:rPr>
        <w:t>det må legges fram en oversikt over (eventuelle) økonomiske behov for inneværende år i fellestiltakene (SF)</w:t>
      </w:r>
    </w:p>
    <w:p w14:paraId="7769371A" w14:textId="092AB042" w:rsidR="00D95737" w:rsidRPr="00F447F5" w:rsidRDefault="00D95737" w:rsidP="00F447F5">
      <w:pPr>
        <w:pStyle w:val="Listeavsnit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F447F5">
        <w:rPr>
          <w:rFonts w:cstheme="minorHAnsi"/>
        </w:rPr>
        <w:t>det må legges fram forslag til prosess for å evaluere dagens fellestiltak (SF + sentrene)</w:t>
      </w:r>
    </w:p>
    <w:p w14:paraId="1A73CDC5" w14:textId="77777777" w:rsidR="00D95737" w:rsidRPr="00F447F5" w:rsidRDefault="00D95737" w:rsidP="00F447F5">
      <w:pPr>
        <w:pStyle w:val="Listeavsnit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F447F5">
        <w:rPr>
          <w:rFonts w:cstheme="minorHAnsi"/>
        </w:rPr>
        <w:t>det ønskes framlagt utkast til forberedelser for mellomtrinnssatsing (SF + sentrene. Her vurderes det å involvere Nord universitet i videreutviklingen av tiltaket)</w:t>
      </w:r>
    </w:p>
    <w:p w14:paraId="30A3BD67" w14:textId="77777777" w:rsidR="00A972B6" w:rsidRDefault="00A972B6" w:rsidP="00A972B6">
      <w:pPr>
        <w:spacing w:after="0" w:line="240" w:lineRule="auto"/>
        <w:rPr>
          <w:rFonts w:cstheme="minorHAnsi"/>
        </w:rPr>
      </w:pPr>
    </w:p>
    <w:p w14:paraId="41773FDB" w14:textId="31BBCF8D" w:rsidR="0053740B" w:rsidRDefault="00A972B6" w:rsidP="00A972B6">
      <w:pPr>
        <w:spacing w:after="0" w:line="240" w:lineRule="auto"/>
        <w:rPr>
          <w:rFonts w:cstheme="minorHAnsi"/>
        </w:rPr>
      </w:pPr>
      <w:r>
        <w:rPr>
          <w:rFonts w:cstheme="minorHAnsi"/>
        </w:rPr>
        <w:t>Se presentasjonen</w:t>
      </w:r>
      <w:r w:rsidR="00300545">
        <w:rPr>
          <w:rFonts w:cstheme="minorHAnsi"/>
        </w:rPr>
        <w:t xml:space="preserve"> for mer informasjon om stoda per dags dato</w:t>
      </w:r>
      <w:r w:rsidR="0053740B">
        <w:rPr>
          <w:rFonts w:cstheme="minorHAnsi"/>
        </w:rPr>
        <w:t xml:space="preserve"> i begge fellestiltakene</w:t>
      </w:r>
      <w:r w:rsidR="001B07D8">
        <w:rPr>
          <w:rFonts w:cstheme="minorHAnsi"/>
        </w:rPr>
        <w:t>.</w:t>
      </w:r>
      <w:r w:rsidR="00EE34E5">
        <w:rPr>
          <w:rFonts w:cstheme="minorHAnsi"/>
        </w:rPr>
        <w:br/>
      </w:r>
      <w:r w:rsidR="00EE34E5">
        <w:rPr>
          <w:rFonts w:cstheme="minorHAnsi"/>
        </w:rPr>
        <w:br/>
      </w:r>
      <w:r w:rsidR="0053740B">
        <w:rPr>
          <w:rFonts w:cstheme="minorHAnsi"/>
        </w:rPr>
        <w:t xml:space="preserve">For begge fellestiltakene gjelder at </w:t>
      </w:r>
      <w:r w:rsidR="00325E64">
        <w:rPr>
          <w:rFonts w:cstheme="minorHAnsi"/>
        </w:rPr>
        <w:t>disse</w:t>
      </w:r>
      <w:r w:rsidR="0053740B">
        <w:rPr>
          <w:rFonts w:cstheme="minorHAnsi"/>
        </w:rPr>
        <w:t xml:space="preserve"> puljene er finansiert, og det samme er samling 6 i tiltaket Bedre undervisnings- og vurderingspraksis etter LK20. </w:t>
      </w:r>
      <w:r w:rsidR="001B07D8">
        <w:rPr>
          <w:rFonts w:cstheme="minorHAnsi"/>
        </w:rPr>
        <w:t xml:space="preserve">Statsforvalteren har </w:t>
      </w:r>
      <w:r w:rsidR="0053740B">
        <w:rPr>
          <w:rFonts w:cstheme="minorHAnsi"/>
        </w:rPr>
        <w:t>avholdt møter med begge sentrene, og det er løpende dialog med prosjektgruppene for å planlegge evaluering av tiltakene. Spørsmålene som ble brukt etter gjennomført pulje 1 blir tilpasset noe</w:t>
      </w:r>
      <w:r w:rsidR="00325E64">
        <w:rPr>
          <w:rFonts w:cstheme="minorHAnsi"/>
        </w:rPr>
        <w:t>.</w:t>
      </w:r>
      <w:r w:rsidR="0053740B">
        <w:rPr>
          <w:rFonts w:cstheme="minorHAnsi"/>
        </w:rPr>
        <w:t xml:space="preserve"> </w:t>
      </w:r>
      <w:r w:rsidR="00325E64">
        <w:rPr>
          <w:rFonts w:cstheme="minorHAnsi"/>
        </w:rPr>
        <w:t xml:space="preserve">I </w:t>
      </w:r>
      <w:r w:rsidR="00325E64">
        <w:rPr>
          <w:rFonts w:cstheme="minorHAnsi"/>
        </w:rPr>
        <w:lastRenderedPageBreak/>
        <w:t xml:space="preserve">evalueringen </w:t>
      </w:r>
      <w:r w:rsidR="0053740B">
        <w:rPr>
          <w:rFonts w:cstheme="minorHAnsi"/>
        </w:rPr>
        <w:t>tar man med ønsket om å inkludere engelsk i begynneropplæringstiltaket – og en eventuell utvidelse til mellomtrinnet i Bedre undervisnings- og vurderingspraksis etter LK20. Resultatet av disse evalueringene blir en del av kunnskapsgrunnlaget som benyttes når samarbeidsforum skal vurdere en</w:t>
      </w:r>
      <w:r w:rsidR="00300545">
        <w:rPr>
          <w:rFonts w:cstheme="minorHAnsi"/>
        </w:rPr>
        <w:t xml:space="preserve"> eventuell videreføring</w:t>
      </w:r>
      <w:r w:rsidR="0053740B">
        <w:rPr>
          <w:rFonts w:cstheme="minorHAnsi"/>
        </w:rPr>
        <w:t xml:space="preserve"> av disse tiltakene</w:t>
      </w:r>
      <w:r w:rsidR="00EA4F81">
        <w:rPr>
          <w:rFonts w:cstheme="minorHAnsi"/>
        </w:rPr>
        <w:t>.</w:t>
      </w:r>
      <w:r w:rsidR="0053740B">
        <w:rPr>
          <w:rFonts w:cstheme="minorHAnsi"/>
        </w:rPr>
        <w:t xml:space="preserve"> Saken må ses i sammenheng med bruk av restmidler i sak 9/2025.</w:t>
      </w:r>
    </w:p>
    <w:p w14:paraId="30B9B75F" w14:textId="77777777" w:rsidR="0053740B" w:rsidRDefault="0053740B" w:rsidP="00A972B6">
      <w:pPr>
        <w:spacing w:after="0" w:line="240" w:lineRule="auto"/>
        <w:rPr>
          <w:rFonts w:cstheme="minorHAnsi"/>
        </w:rPr>
      </w:pPr>
    </w:p>
    <w:p w14:paraId="591229A1" w14:textId="28D3EB9E" w:rsidR="00EA4F81" w:rsidRPr="00EA4F81" w:rsidRDefault="00EA4F81" w:rsidP="00A972B6">
      <w:pPr>
        <w:spacing w:after="0" w:line="240" w:lineRule="auto"/>
        <w:rPr>
          <w:rFonts w:cstheme="minorHAnsi"/>
          <w:u w:val="single"/>
        </w:rPr>
      </w:pPr>
      <w:r w:rsidRPr="00EA4F81">
        <w:rPr>
          <w:rFonts w:cstheme="minorHAnsi"/>
          <w:u w:val="single"/>
        </w:rPr>
        <w:t>Oppfølging</w:t>
      </w:r>
    </w:p>
    <w:p w14:paraId="73BB6F94" w14:textId="6C10BC3C" w:rsidR="00A972B6" w:rsidRPr="003E732A" w:rsidRDefault="0053740B" w:rsidP="00A972B6">
      <w:pPr>
        <w:spacing w:after="0" w:line="240" w:lineRule="auto"/>
        <w:rPr>
          <w:rFonts w:cstheme="minorHAnsi"/>
        </w:rPr>
      </w:pPr>
      <w:r>
        <w:rPr>
          <w:rFonts w:cstheme="minorHAnsi"/>
        </w:rPr>
        <w:t>Representantene fra nettverkene må ta med seg informasjon fra denne saken tilbake til nettverkene for å drøfte eventuelle behov for deltakelse i en eventuell ny puljeperiode. Dette vil være viktig i forberedelse til septembermøtet.</w:t>
      </w:r>
    </w:p>
    <w:p w14:paraId="2443D47F" w14:textId="77777777" w:rsidR="00F867F0" w:rsidRPr="004D7E46" w:rsidRDefault="00F867F0" w:rsidP="00F867F0">
      <w:pPr>
        <w:spacing w:after="0" w:line="240" w:lineRule="auto"/>
        <w:ind w:left="1430"/>
        <w:contextualSpacing/>
        <w:rPr>
          <w:rFonts w:cstheme="minorHAnsi"/>
        </w:rPr>
      </w:pPr>
    </w:p>
    <w:p w14:paraId="03AC3F74" w14:textId="63A69CB7" w:rsidR="00897031" w:rsidRDefault="00F867F0" w:rsidP="00F867F0">
      <w:pPr>
        <w:spacing w:after="0" w:line="240" w:lineRule="auto"/>
        <w:rPr>
          <w:rFonts w:cstheme="minorHAnsi"/>
        </w:rPr>
      </w:pPr>
      <w:r w:rsidRPr="004D7E46">
        <w:rPr>
          <w:rFonts w:cstheme="minorHAnsi"/>
          <w:b/>
          <w:bCs/>
        </w:rPr>
        <w:t xml:space="preserve">Sak </w:t>
      </w:r>
      <w:r w:rsidR="00115B7D">
        <w:rPr>
          <w:rFonts w:cstheme="minorHAnsi"/>
          <w:b/>
          <w:bCs/>
        </w:rPr>
        <w:t>9</w:t>
      </w:r>
      <w:r w:rsidRPr="004D7E46">
        <w:rPr>
          <w:rFonts w:cstheme="minorHAnsi"/>
          <w:b/>
          <w:bCs/>
        </w:rPr>
        <w:t>/202</w:t>
      </w:r>
      <w:r>
        <w:rPr>
          <w:rFonts w:cstheme="minorHAnsi"/>
          <w:b/>
          <w:bCs/>
        </w:rPr>
        <w:t>5</w:t>
      </w:r>
      <w:r w:rsidRPr="004D7E46">
        <w:rPr>
          <w:rFonts w:cstheme="minorHAnsi"/>
          <w:b/>
          <w:bCs/>
        </w:rPr>
        <w:t xml:space="preserve"> </w:t>
      </w:r>
      <w:r w:rsidRPr="004D7E46">
        <w:rPr>
          <w:rFonts w:cstheme="minorHAnsi"/>
          <w:b/>
          <w:bCs/>
        </w:rPr>
        <w:tab/>
        <w:t xml:space="preserve">Felles årlig innstilling for bruk av midler til </w:t>
      </w:r>
      <w:r>
        <w:rPr>
          <w:rFonts w:cstheme="minorHAnsi"/>
          <w:b/>
          <w:bCs/>
        </w:rPr>
        <w:t>D</w:t>
      </w:r>
      <w:r w:rsidRPr="004D7E46">
        <w:rPr>
          <w:rFonts w:cstheme="minorHAnsi"/>
          <w:b/>
          <w:bCs/>
        </w:rPr>
        <w:t>ekom</w:t>
      </w:r>
    </w:p>
    <w:p w14:paraId="0B1375B9" w14:textId="53690CB9" w:rsidR="00966D77" w:rsidRPr="00B3047F" w:rsidRDefault="00966D77" w:rsidP="00966D7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966D77">
        <w:rPr>
          <w:rFonts w:ascii="Open Sans" w:eastAsia="Calibri" w:hAnsi="Open Sans" w:cs="Open Sans"/>
          <w:sz w:val="20"/>
          <w:szCs w:val="20"/>
        </w:rPr>
        <w:t xml:space="preserve">Bjørn viste til vedtak gjort i fordelingsmøtet i januar, </w:t>
      </w:r>
      <w:proofErr w:type="spellStart"/>
      <w:r w:rsidRPr="00966D77">
        <w:rPr>
          <w:rFonts w:ascii="Open Sans" w:eastAsia="Calibri" w:hAnsi="Open Sans" w:cs="Open Sans"/>
          <w:sz w:val="20"/>
          <w:szCs w:val="20"/>
        </w:rPr>
        <w:t>Udir</w:t>
      </w:r>
      <w:proofErr w:type="spellEnd"/>
      <w:r w:rsidRPr="00966D77">
        <w:rPr>
          <w:rFonts w:ascii="Open Sans" w:eastAsia="Calibri" w:hAnsi="Open Sans" w:cs="Open Sans"/>
          <w:sz w:val="20"/>
          <w:szCs w:val="20"/>
        </w:rPr>
        <w:t xml:space="preserve"> sin tildeling til Trøndelag og til saksdokumentene som var sendt ut i forkant av møtet. </w:t>
      </w:r>
      <w:r w:rsidR="00ED0036">
        <w:rPr>
          <w:rFonts w:ascii="Open Sans" w:eastAsia="Calibri" w:hAnsi="Open Sans" w:cs="Open Sans"/>
          <w:sz w:val="20"/>
          <w:szCs w:val="20"/>
        </w:rPr>
        <w:t>D</w:t>
      </w:r>
      <w:r w:rsidR="00ED0036" w:rsidRPr="00966D77">
        <w:rPr>
          <w:rFonts w:ascii="Open Sans" w:eastAsia="Calibri" w:hAnsi="Open Sans" w:cs="Open Sans"/>
          <w:sz w:val="20"/>
          <w:szCs w:val="20"/>
        </w:rPr>
        <w:t>et overordnede budsjettet som også var oppe på fordelingsmøtet i januar</w:t>
      </w:r>
      <w:r w:rsidR="00ED0036">
        <w:rPr>
          <w:rFonts w:ascii="Open Sans" w:eastAsia="Calibri" w:hAnsi="Open Sans" w:cs="Open Sans"/>
          <w:sz w:val="20"/>
          <w:szCs w:val="20"/>
        </w:rPr>
        <w:t>, ble lagt fram</w:t>
      </w:r>
      <w:r w:rsidR="00ED0036" w:rsidRPr="00966D77">
        <w:rPr>
          <w:rFonts w:ascii="Open Sans" w:eastAsia="Calibri" w:hAnsi="Open Sans" w:cs="Open Sans"/>
          <w:sz w:val="20"/>
          <w:szCs w:val="20"/>
        </w:rPr>
        <w:t>. Den samlede tildelingen til Trøndelag innenfor Dekom er i 202</w:t>
      </w:r>
      <w:r w:rsidR="00ED0036">
        <w:rPr>
          <w:rFonts w:ascii="Open Sans" w:eastAsia="Calibri" w:hAnsi="Open Sans" w:cs="Open Sans"/>
          <w:sz w:val="20"/>
          <w:szCs w:val="20"/>
        </w:rPr>
        <w:t>5</w:t>
      </w:r>
      <w:r w:rsidR="00ED0036" w:rsidRPr="00966D77">
        <w:rPr>
          <w:rFonts w:ascii="Open Sans" w:eastAsia="Calibri" w:hAnsi="Open Sans" w:cs="Open Sans"/>
          <w:sz w:val="20"/>
          <w:szCs w:val="20"/>
        </w:rPr>
        <w:t xml:space="preserve"> kroner 20 776 000.</w:t>
      </w:r>
      <w:r w:rsidR="00ED0036">
        <w:rPr>
          <w:rFonts w:ascii="Open Sans" w:eastAsia="Calibri" w:hAnsi="Open Sans" w:cs="Open Sans"/>
          <w:sz w:val="20"/>
          <w:szCs w:val="20"/>
        </w:rPr>
        <w:t xml:space="preserve"> </w:t>
      </w:r>
      <w:r w:rsidR="00ED0036">
        <w:rPr>
          <w:rFonts w:ascii="Open Sans" w:eastAsia="Calibri" w:hAnsi="Open Sans" w:cs="Open Sans"/>
          <w:sz w:val="20"/>
          <w:szCs w:val="20"/>
        </w:rPr>
        <w:br/>
      </w:r>
      <w:r w:rsidR="00ED0036">
        <w:rPr>
          <w:rFonts w:ascii="Open Sans" w:eastAsia="Calibri" w:hAnsi="Open Sans" w:cs="Open Sans"/>
          <w:sz w:val="20"/>
          <w:szCs w:val="20"/>
        </w:rPr>
        <w:br/>
      </w:r>
      <w:r w:rsidRPr="00B3047F">
        <w:rPr>
          <w:rFonts w:ascii="Open Sans" w:eastAsia="Calibri" w:hAnsi="Open Sans" w:cs="Open Sans"/>
          <w:sz w:val="20"/>
          <w:szCs w:val="20"/>
        </w:rPr>
        <w:t xml:space="preserve">Sekretariatet har sendt ut alle partnerskaps beslutningsgrunnlag i en samlet </w:t>
      </w:r>
      <w:proofErr w:type="spellStart"/>
      <w:r w:rsidRPr="00B3047F">
        <w:rPr>
          <w:rFonts w:ascii="Open Sans" w:eastAsia="Calibri" w:hAnsi="Open Sans" w:cs="Open Sans"/>
          <w:sz w:val="20"/>
          <w:szCs w:val="20"/>
        </w:rPr>
        <w:t>excelfil</w:t>
      </w:r>
      <w:proofErr w:type="spellEnd"/>
      <w:r w:rsidRPr="00B3047F">
        <w:rPr>
          <w:rFonts w:ascii="Open Sans" w:eastAsia="Calibri" w:hAnsi="Open Sans" w:cs="Open Sans"/>
          <w:sz w:val="20"/>
          <w:szCs w:val="20"/>
        </w:rPr>
        <w:t xml:space="preserve">, slik at samarbeidsforum </w:t>
      </w:r>
      <w:r w:rsidR="00325E64" w:rsidRPr="00B3047F">
        <w:rPr>
          <w:rFonts w:ascii="Open Sans" w:eastAsia="Calibri" w:hAnsi="Open Sans" w:cs="Open Sans"/>
          <w:sz w:val="20"/>
          <w:szCs w:val="20"/>
        </w:rPr>
        <w:t xml:space="preserve">skulle </w:t>
      </w:r>
      <w:r w:rsidRPr="00B3047F">
        <w:rPr>
          <w:rFonts w:ascii="Open Sans" w:eastAsia="Calibri" w:hAnsi="Open Sans" w:cs="Open Sans"/>
          <w:sz w:val="20"/>
          <w:szCs w:val="20"/>
        </w:rPr>
        <w:t xml:space="preserve">få en god oversikt. </w:t>
      </w:r>
      <w:r w:rsidRPr="00B3047F">
        <w:rPr>
          <w:rFonts w:ascii="Open Sans" w:eastAsia="Calibri" w:hAnsi="Open Sans" w:cs="Open Sans"/>
          <w:sz w:val="20"/>
          <w:szCs w:val="20"/>
        </w:rPr>
        <w:br/>
      </w:r>
      <w:r w:rsidRPr="00B3047F">
        <w:rPr>
          <w:rFonts w:ascii="Open Sans" w:eastAsia="Calibri" w:hAnsi="Open Sans" w:cs="Open Sans"/>
          <w:sz w:val="20"/>
          <w:szCs w:val="20"/>
        </w:rPr>
        <w:br/>
      </w:r>
      <w:r w:rsidRPr="00B3047F">
        <w:rPr>
          <w:rFonts w:ascii="Open Sans" w:hAnsi="Open Sans" w:cs="Open Sans"/>
          <w:sz w:val="20"/>
          <w:szCs w:val="20"/>
        </w:rPr>
        <w:t>Se presentasjon</w:t>
      </w:r>
      <w:r w:rsidR="00B3047F">
        <w:rPr>
          <w:rFonts w:ascii="Open Sans" w:hAnsi="Open Sans" w:cs="Open Sans"/>
          <w:sz w:val="20"/>
          <w:szCs w:val="20"/>
        </w:rPr>
        <w:t>en</w:t>
      </w:r>
      <w:r w:rsidRPr="00B3047F">
        <w:rPr>
          <w:rFonts w:ascii="Open Sans" w:hAnsi="Open Sans" w:cs="Open Sans"/>
          <w:sz w:val="20"/>
          <w:szCs w:val="20"/>
        </w:rPr>
        <w:t xml:space="preserve"> for gjennomgang av fremgangsmåte for innstillingsprosessen, beslutninger tatt i januarmøtet, tildelte midler til Trøndelag og forslag til budsjett for årets midler.</w:t>
      </w:r>
      <w:r w:rsidRPr="00B3047F">
        <w:rPr>
          <w:rFonts w:ascii="Open Sans" w:hAnsi="Open Sans" w:cs="Open Sans"/>
          <w:sz w:val="20"/>
          <w:szCs w:val="20"/>
        </w:rPr>
        <w:br/>
      </w:r>
    </w:p>
    <w:p w14:paraId="282A3290" w14:textId="65550E53" w:rsidR="00966D77" w:rsidRPr="00B3047F" w:rsidRDefault="00966D77" w:rsidP="00966D77">
      <w:pPr>
        <w:spacing w:after="0" w:line="240" w:lineRule="auto"/>
        <w:rPr>
          <w:rFonts w:ascii="Open Sans" w:eastAsia="Calibri" w:hAnsi="Open Sans" w:cs="Open Sans"/>
          <w:sz w:val="20"/>
          <w:szCs w:val="20"/>
        </w:rPr>
      </w:pPr>
      <w:r w:rsidRPr="00B3047F">
        <w:rPr>
          <w:rFonts w:ascii="Open Sans" w:eastAsia="Calibri" w:hAnsi="Open Sans" w:cs="Open Sans"/>
          <w:sz w:val="20"/>
          <w:szCs w:val="20"/>
        </w:rPr>
        <w:t xml:space="preserve">Samarbeidsforum ble inndelt i tre grupper som fikk ansvar for å komme fram til delinnstillinger for de nettverkene som inngikk i hver gruppe. Delinnstilling ble presentert i plenum. Forslag til innstillinger som hadde merknader, må følges opp før de blir utbetalt.  </w:t>
      </w:r>
    </w:p>
    <w:p w14:paraId="75E295AD" w14:textId="77777777" w:rsidR="00966D77" w:rsidRPr="00B3047F" w:rsidRDefault="00966D77" w:rsidP="00966D77">
      <w:pPr>
        <w:spacing w:after="0" w:line="240" w:lineRule="auto"/>
        <w:rPr>
          <w:rFonts w:ascii="Open Sans" w:eastAsia="Calibri" w:hAnsi="Open Sans" w:cs="Open Sans"/>
          <w:sz w:val="20"/>
          <w:szCs w:val="20"/>
        </w:rPr>
      </w:pPr>
    </w:p>
    <w:p w14:paraId="3FAE8113" w14:textId="655F9B9D" w:rsidR="00966D77" w:rsidRPr="00B3047F" w:rsidRDefault="00966D77" w:rsidP="00966D77">
      <w:pPr>
        <w:spacing w:after="0" w:line="240" w:lineRule="auto"/>
        <w:rPr>
          <w:rFonts w:ascii="Open Sans" w:eastAsia="Calibri" w:hAnsi="Open Sans" w:cs="Open Sans"/>
          <w:sz w:val="20"/>
          <w:szCs w:val="20"/>
        </w:rPr>
      </w:pPr>
      <w:r w:rsidRPr="00B3047F">
        <w:rPr>
          <w:rFonts w:ascii="Open Sans" w:eastAsia="Calibri" w:hAnsi="Open Sans" w:cs="Open Sans"/>
          <w:sz w:val="20"/>
          <w:szCs w:val="20"/>
        </w:rPr>
        <w:t>Tabell som viser forhåndsrammer, beslutningsgrunnlag og innstilling i møtet den 13. mars</w:t>
      </w:r>
      <w:r w:rsidR="00ED0036" w:rsidRPr="00B3047F">
        <w:rPr>
          <w:rFonts w:ascii="Open Sans" w:eastAsia="Calibri" w:hAnsi="Open Sans" w:cs="Open Sans"/>
          <w:sz w:val="20"/>
          <w:szCs w:val="20"/>
        </w:rPr>
        <w:t>:</w:t>
      </w:r>
    </w:p>
    <w:p w14:paraId="5055744A" w14:textId="77777777" w:rsidR="00611E22" w:rsidRDefault="00611E22" w:rsidP="00966D77">
      <w:pPr>
        <w:spacing w:after="0" w:line="240" w:lineRule="auto"/>
        <w:rPr>
          <w:rFonts w:ascii="Open Sans" w:eastAsia="Calibri" w:hAnsi="Open Sans" w:cs="Open Sans"/>
          <w:sz w:val="20"/>
          <w:szCs w:val="20"/>
        </w:rPr>
      </w:pPr>
    </w:p>
    <w:p w14:paraId="362E2F45" w14:textId="257B6E6D" w:rsidR="00611E22" w:rsidRPr="00B3047F" w:rsidRDefault="00611E22" w:rsidP="00966D77">
      <w:pPr>
        <w:spacing w:after="0" w:line="240" w:lineRule="auto"/>
        <w:rPr>
          <w:rFonts w:cstheme="minorHAnsi"/>
          <w:i/>
          <w:iCs/>
        </w:rPr>
      </w:pPr>
      <w:r w:rsidRPr="00B3047F">
        <w:rPr>
          <w:i/>
          <w:iCs/>
          <w:noProof/>
          <w14:ligatures w14:val="standardContextual"/>
        </w:rPr>
        <w:drawing>
          <wp:inline distT="0" distB="0" distL="0" distR="0" wp14:anchorId="0B4809F1" wp14:editId="4E8E1A2C">
            <wp:extent cx="5760720" cy="3240405"/>
            <wp:effectExtent l="0" t="0" r="0" b="0"/>
            <wp:docPr id="1311337532" name="Grafik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337532" name="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0F3DE" w14:textId="4548A315" w:rsidR="00966D77" w:rsidRDefault="00B3047F" w:rsidP="00F867F0">
      <w:pPr>
        <w:spacing w:after="0" w:line="240" w:lineRule="auto"/>
        <w:rPr>
          <w:rFonts w:cstheme="minorHAnsi"/>
        </w:rPr>
      </w:pPr>
      <w:r w:rsidRPr="00B3047F">
        <w:rPr>
          <w:rFonts w:cstheme="minorHAnsi"/>
          <w:i/>
          <w:iCs/>
        </w:rPr>
        <w:t>Kriteriearkene er lastet opp i Teamsgruppa til samarbeidsforum.</w:t>
      </w:r>
      <w:r>
        <w:rPr>
          <w:rFonts w:cstheme="minorHAnsi"/>
        </w:rPr>
        <w:br/>
      </w:r>
    </w:p>
    <w:p w14:paraId="7D6A773C" w14:textId="77777777" w:rsidR="00B3047F" w:rsidRDefault="00B3047F" w:rsidP="00F867F0">
      <w:pPr>
        <w:spacing w:after="0" w:line="240" w:lineRule="auto"/>
        <w:rPr>
          <w:rFonts w:cstheme="minorHAnsi"/>
        </w:rPr>
      </w:pPr>
    </w:p>
    <w:p w14:paraId="474850C0" w14:textId="47B2C42D" w:rsidR="00115B7D" w:rsidRPr="00115B7D" w:rsidRDefault="00115B7D" w:rsidP="00115B7D">
      <w:pPr>
        <w:spacing w:after="0" w:line="240" w:lineRule="auto"/>
        <w:contextualSpacing/>
        <w:rPr>
          <w:rFonts w:cstheme="minorHAnsi"/>
        </w:rPr>
      </w:pPr>
      <w:r w:rsidRPr="00115B7D">
        <w:rPr>
          <w:rFonts w:cstheme="minorHAnsi"/>
          <w:b/>
          <w:bCs/>
        </w:rPr>
        <w:lastRenderedPageBreak/>
        <w:t>Vedtak</w:t>
      </w:r>
    </w:p>
    <w:p w14:paraId="453E9396" w14:textId="4A275C39" w:rsidR="009C6B2B" w:rsidRPr="009C6B2B" w:rsidRDefault="009C6B2B" w:rsidP="009C6B2B">
      <w:pPr>
        <w:spacing w:after="0" w:line="240" w:lineRule="auto"/>
        <w:contextualSpacing/>
        <w:rPr>
          <w:rFonts w:cstheme="minorHAnsi"/>
        </w:rPr>
      </w:pPr>
      <w:r w:rsidRPr="009C6B2B">
        <w:rPr>
          <w:rFonts w:cstheme="minorHAnsi"/>
        </w:rPr>
        <w:t>1) Innstilling i henhold til langsiktig plan</w:t>
      </w:r>
      <w:r w:rsidR="00ED0036">
        <w:rPr>
          <w:rFonts w:cstheme="minorHAnsi"/>
        </w:rPr>
        <w:t xml:space="preserve"> (årlige tildelinger)</w:t>
      </w:r>
    </w:p>
    <w:p w14:paraId="0CB0B172" w14:textId="77777777" w:rsidR="009C6B2B" w:rsidRPr="009C6B2B" w:rsidRDefault="009C6B2B" w:rsidP="009C6B2B">
      <w:pPr>
        <w:spacing w:after="0" w:line="240" w:lineRule="auto"/>
        <w:contextualSpacing/>
        <w:rPr>
          <w:rFonts w:cstheme="minorHAnsi"/>
        </w:rPr>
      </w:pPr>
    </w:p>
    <w:p w14:paraId="71940E9E" w14:textId="77777777" w:rsidR="009C6B2B" w:rsidRPr="009C6B2B" w:rsidRDefault="009C6B2B" w:rsidP="009C6B2B">
      <w:pPr>
        <w:spacing w:after="0" w:line="240" w:lineRule="auto"/>
        <w:contextualSpacing/>
        <w:rPr>
          <w:rFonts w:cstheme="minorHAnsi"/>
        </w:rPr>
      </w:pPr>
      <w:r w:rsidRPr="009C6B2B">
        <w:rPr>
          <w:rFonts w:cstheme="minorHAnsi"/>
        </w:rPr>
        <w:t xml:space="preserve">Samarbeidsforum viser til sak 3/2025, 4/2025 og 5/2025 hvor det ble besluttet prinsipper for fordeling i tråd med langsiktig plan for Dekom i Trøndelag. </w:t>
      </w:r>
    </w:p>
    <w:p w14:paraId="57B0F192" w14:textId="77777777" w:rsidR="009C6B2B" w:rsidRPr="00897031" w:rsidRDefault="009C6B2B" w:rsidP="00897031">
      <w:pPr>
        <w:pStyle w:val="Listeavsnit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897031">
        <w:rPr>
          <w:rFonts w:cstheme="minorHAnsi"/>
        </w:rPr>
        <w:t>Kroner 1 500 000 tildeles koordinering</w:t>
      </w:r>
    </w:p>
    <w:p w14:paraId="3A304542" w14:textId="77777777" w:rsidR="009C6B2B" w:rsidRPr="00897031" w:rsidRDefault="009C6B2B" w:rsidP="00897031">
      <w:pPr>
        <w:pStyle w:val="Listeavsnit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897031">
        <w:rPr>
          <w:rFonts w:cstheme="minorHAnsi"/>
        </w:rPr>
        <w:t>Kroner 300 000 avsettes til møtevirksomhet</w:t>
      </w:r>
    </w:p>
    <w:p w14:paraId="68DDB8EF" w14:textId="77777777" w:rsidR="009C6B2B" w:rsidRPr="00897031" w:rsidRDefault="009C6B2B" w:rsidP="00897031">
      <w:pPr>
        <w:pStyle w:val="Listeavsnitt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897031">
        <w:rPr>
          <w:rFonts w:cstheme="minorHAnsi"/>
        </w:rPr>
        <w:t>Kroner 150 000 tildeles Webinarer lokalt gitt eksamen 2026</w:t>
      </w:r>
    </w:p>
    <w:p w14:paraId="1D0C9F5D" w14:textId="77777777" w:rsidR="009C6B2B" w:rsidRPr="009C6B2B" w:rsidRDefault="009C6B2B" w:rsidP="009C6B2B">
      <w:pPr>
        <w:spacing w:after="0" w:line="240" w:lineRule="auto"/>
        <w:contextualSpacing/>
        <w:rPr>
          <w:rFonts w:cstheme="minorHAnsi"/>
        </w:rPr>
      </w:pPr>
    </w:p>
    <w:p w14:paraId="138C4C2B" w14:textId="77777777" w:rsidR="009C6B2B" w:rsidRPr="00300545" w:rsidRDefault="009C6B2B" w:rsidP="009C6B2B">
      <w:pPr>
        <w:spacing w:after="0" w:line="240" w:lineRule="auto"/>
        <w:contextualSpacing/>
        <w:rPr>
          <w:rFonts w:cstheme="minorHAnsi"/>
          <w:u w:val="single"/>
        </w:rPr>
      </w:pPr>
      <w:r w:rsidRPr="009C6B2B">
        <w:rPr>
          <w:rFonts w:cstheme="minorHAnsi"/>
          <w:u w:val="single"/>
        </w:rPr>
        <w:t xml:space="preserve">2) Kroner 5 millioner tildeles direkte til UH for å ivareta rollen som fast utviklingspartner. </w:t>
      </w:r>
    </w:p>
    <w:p w14:paraId="084A73E7" w14:textId="265E87CB" w:rsidR="009C6B2B" w:rsidRPr="009C6B2B" w:rsidRDefault="009C6B2B" w:rsidP="009C6B2B">
      <w:pPr>
        <w:spacing w:after="0" w:line="240" w:lineRule="auto"/>
        <w:contextualSpacing/>
        <w:rPr>
          <w:rFonts w:cstheme="minorHAnsi"/>
        </w:rPr>
      </w:pPr>
      <w:r w:rsidRPr="009C6B2B">
        <w:rPr>
          <w:rFonts w:cstheme="minorHAnsi"/>
        </w:rPr>
        <w:t xml:space="preserve">NTNU er partner med 7 kompetansenettverk, og Nord U er partner med 4. Med bakgrunn i dette utbetales 3 millioner til NTNU, og 2 millioner til Nord Universitet.  </w:t>
      </w:r>
    </w:p>
    <w:p w14:paraId="2B4D127A" w14:textId="77777777" w:rsidR="009C6B2B" w:rsidRPr="009C6B2B" w:rsidRDefault="009C6B2B" w:rsidP="009C6B2B">
      <w:pPr>
        <w:spacing w:after="0" w:line="240" w:lineRule="auto"/>
        <w:contextualSpacing/>
        <w:rPr>
          <w:rFonts w:cstheme="minorHAnsi"/>
        </w:rPr>
      </w:pPr>
    </w:p>
    <w:p w14:paraId="46CA9694" w14:textId="1FD3FCA7" w:rsidR="009C6B2B" w:rsidRPr="009C6B2B" w:rsidRDefault="009C6B2B" w:rsidP="009C6B2B">
      <w:pPr>
        <w:spacing w:after="0" w:line="240" w:lineRule="auto"/>
        <w:contextualSpacing/>
        <w:rPr>
          <w:rFonts w:cstheme="minorHAnsi"/>
          <w:u w:val="single"/>
        </w:rPr>
      </w:pPr>
      <w:r w:rsidRPr="009C6B2B">
        <w:rPr>
          <w:rFonts w:cstheme="minorHAnsi"/>
          <w:u w:val="single"/>
        </w:rPr>
        <w:t>3) Kroner 100 000 til Fosen</w:t>
      </w:r>
      <w:r>
        <w:rPr>
          <w:rFonts w:cstheme="minorHAnsi"/>
          <w:u w:val="single"/>
        </w:rPr>
        <w:t>-</w:t>
      </w:r>
      <w:r w:rsidRPr="009C6B2B">
        <w:rPr>
          <w:rFonts w:cstheme="minorHAnsi"/>
          <w:u w:val="single"/>
        </w:rPr>
        <w:t>nettverket jf. Vedtak i januarmøtet («UP1-midler»)</w:t>
      </w:r>
      <w:r w:rsidRPr="009C6B2B">
        <w:rPr>
          <w:rFonts w:cstheme="minorHAnsi"/>
          <w:u w:val="single"/>
        </w:rPr>
        <w:br/>
      </w:r>
    </w:p>
    <w:p w14:paraId="64FF97CF" w14:textId="77777777" w:rsidR="009C6B2B" w:rsidRPr="009C6B2B" w:rsidRDefault="009C6B2B" w:rsidP="009C6B2B">
      <w:pPr>
        <w:spacing w:after="0" w:line="240" w:lineRule="auto"/>
        <w:contextualSpacing/>
        <w:rPr>
          <w:rFonts w:cstheme="minorHAnsi"/>
          <w:u w:val="single"/>
        </w:rPr>
      </w:pPr>
      <w:r w:rsidRPr="009C6B2B">
        <w:rPr>
          <w:rFonts w:cstheme="minorHAnsi"/>
          <w:u w:val="single"/>
        </w:rPr>
        <w:t>4) Innstilling på midler til partnerskapene</w:t>
      </w:r>
    </w:p>
    <w:p w14:paraId="3C6FDD8E" w14:textId="77777777" w:rsidR="009C6B2B" w:rsidRPr="009C6B2B" w:rsidRDefault="009C6B2B" w:rsidP="009C6B2B">
      <w:pPr>
        <w:spacing w:after="0" w:line="240" w:lineRule="auto"/>
        <w:contextualSpacing/>
        <w:rPr>
          <w:rFonts w:cstheme="minorHAnsi"/>
        </w:rPr>
      </w:pPr>
      <w:r w:rsidRPr="009C6B2B">
        <w:rPr>
          <w:rFonts w:cstheme="minorHAnsi"/>
        </w:rPr>
        <w:t xml:space="preserve">Samarbeidsforum vurderte hvert enkelt partnerskaps beslutningsgrunnlag ut fra kriteriene for </w:t>
      </w:r>
      <w:r w:rsidRPr="00756051">
        <w:rPr>
          <w:rFonts w:cstheme="minorHAnsi"/>
        </w:rPr>
        <w:t>tilskuddsordningen. Det ble innstilt på ramme (eller under ramme) til alle partnerskap.</w:t>
      </w:r>
      <w:r w:rsidRPr="009C6B2B">
        <w:rPr>
          <w:rFonts w:cstheme="minorHAnsi"/>
        </w:rPr>
        <w:t xml:space="preserve"> Midlene fordeles pro rata etter en fordelingsnøkkel basert på lærerårsverk samt grunntilskudd, </w:t>
      </w:r>
      <w:proofErr w:type="spellStart"/>
      <w:r w:rsidRPr="009C6B2B">
        <w:rPr>
          <w:rFonts w:cstheme="minorHAnsi"/>
        </w:rPr>
        <w:t>jf</w:t>
      </w:r>
      <w:proofErr w:type="spellEnd"/>
      <w:r w:rsidRPr="009C6B2B">
        <w:rPr>
          <w:rFonts w:cstheme="minorHAnsi"/>
        </w:rPr>
        <w:t xml:space="preserve"> tabell.</w:t>
      </w:r>
    </w:p>
    <w:p w14:paraId="4599134C" w14:textId="77777777" w:rsidR="009C6B2B" w:rsidRPr="009C6B2B" w:rsidRDefault="009C6B2B" w:rsidP="009C6B2B">
      <w:pPr>
        <w:spacing w:after="0" w:line="240" w:lineRule="auto"/>
        <w:contextualSpacing/>
        <w:rPr>
          <w:rFonts w:cstheme="minorHAnsi"/>
          <w:u w:val="single"/>
        </w:rPr>
      </w:pPr>
      <w:r w:rsidRPr="009C6B2B">
        <w:rPr>
          <w:rFonts w:cstheme="minorHAnsi"/>
        </w:rPr>
        <w:br/>
      </w:r>
      <w:r w:rsidRPr="009C6B2B">
        <w:rPr>
          <w:rFonts w:cstheme="minorHAnsi"/>
          <w:u w:val="single"/>
        </w:rPr>
        <w:t xml:space="preserve">5) Restmidler </w:t>
      </w:r>
    </w:p>
    <w:p w14:paraId="482C4C42" w14:textId="616AFE4E" w:rsidR="00F867F0" w:rsidRDefault="009C6B2B" w:rsidP="009C6B2B">
      <w:pPr>
        <w:spacing w:after="0" w:line="240" w:lineRule="auto"/>
        <w:contextualSpacing/>
        <w:rPr>
          <w:rFonts w:cstheme="minorHAnsi"/>
        </w:rPr>
      </w:pPr>
      <w:r w:rsidRPr="00300545">
        <w:rPr>
          <w:rFonts w:cstheme="minorHAnsi"/>
        </w:rPr>
        <w:t>K</w:t>
      </w:r>
      <w:r w:rsidRPr="009C6B2B">
        <w:rPr>
          <w:rFonts w:cstheme="minorHAnsi"/>
        </w:rPr>
        <w:t>roner 942 000 disponeres i septembermøtet.</w:t>
      </w:r>
      <w:r w:rsidR="00BE6DBC">
        <w:rPr>
          <w:rFonts w:cstheme="minorHAnsi"/>
        </w:rPr>
        <w:t xml:space="preserve"> Se sak 6/2025 og 8/2025.</w:t>
      </w:r>
    </w:p>
    <w:p w14:paraId="54612590" w14:textId="77777777" w:rsidR="009C6B2B" w:rsidRPr="009C6B2B" w:rsidRDefault="009C6B2B" w:rsidP="00300545">
      <w:pPr>
        <w:spacing w:after="0" w:line="240" w:lineRule="auto"/>
        <w:contextualSpacing/>
        <w:rPr>
          <w:rFonts w:cstheme="minorHAnsi"/>
        </w:rPr>
      </w:pPr>
    </w:p>
    <w:p w14:paraId="66765EE9" w14:textId="77777777" w:rsidR="00F867F0" w:rsidRPr="00E02BCF" w:rsidRDefault="00F867F0" w:rsidP="00C33F51">
      <w:pPr>
        <w:spacing w:after="0" w:line="240" w:lineRule="auto"/>
        <w:contextualSpacing/>
        <w:rPr>
          <w:rFonts w:cstheme="minorHAnsi"/>
          <w:b/>
          <w:bCs/>
        </w:rPr>
      </w:pPr>
      <w:r w:rsidRPr="00212811">
        <w:rPr>
          <w:rFonts w:cstheme="minorHAnsi"/>
          <w:b/>
          <w:bCs/>
        </w:rPr>
        <w:t>Eventuelt</w:t>
      </w:r>
      <w:r w:rsidRPr="00E02BCF">
        <w:rPr>
          <w:rFonts w:cstheme="minorHAnsi"/>
          <w:b/>
          <w:bCs/>
        </w:rPr>
        <w:tab/>
      </w:r>
      <w:r w:rsidRPr="00E02BCF">
        <w:rPr>
          <w:rFonts w:cstheme="minorHAnsi"/>
          <w:b/>
          <w:bCs/>
        </w:rPr>
        <w:tab/>
      </w:r>
      <w:r w:rsidRPr="00E02BCF">
        <w:rPr>
          <w:rFonts w:cstheme="minorHAnsi"/>
          <w:b/>
          <w:bCs/>
        </w:rPr>
        <w:tab/>
      </w:r>
    </w:p>
    <w:p w14:paraId="56F25F63" w14:textId="462A65D1" w:rsidR="00F867F0" w:rsidRPr="00490FA8" w:rsidRDefault="00897031" w:rsidP="00F867F0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Meldt sak til eventuelt ble lagt fram under sak 6/2025.</w:t>
      </w:r>
    </w:p>
    <w:sectPr w:rsidR="00F867F0" w:rsidRPr="00490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76961"/>
    <w:multiLevelType w:val="hybridMultilevel"/>
    <w:tmpl w:val="DF82309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41B77"/>
    <w:multiLevelType w:val="hybridMultilevel"/>
    <w:tmpl w:val="C98210D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972C4"/>
    <w:multiLevelType w:val="hybridMultilevel"/>
    <w:tmpl w:val="12E08D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62670"/>
    <w:multiLevelType w:val="hybridMultilevel"/>
    <w:tmpl w:val="B8AC2AD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A7309"/>
    <w:multiLevelType w:val="hybridMultilevel"/>
    <w:tmpl w:val="FD1E2BF2"/>
    <w:lvl w:ilvl="0" w:tplc="34D64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14F6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62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E2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14A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29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4AB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AA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A60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A63FF8"/>
    <w:multiLevelType w:val="hybridMultilevel"/>
    <w:tmpl w:val="79E02422"/>
    <w:lvl w:ilvl="0" w:tplc="96D859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BA9B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5003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005A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AA18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EC77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C41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7417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7EE4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AD43172"/>
    <w:multiLevelType w:val="hybridMultilevel"/>
    <w:tmpl w:val="4E5A50F8"/>
    <w:lvl w:ilvl="0" w:tplc="0414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4281223">
    <w:abstractNumId w:val="3"/>
  </w:num>
  <w:num w:numId="2" w16cid:durableId="374741994">
    <w:abstractNumId w:val="2"/>
  </w:num>
  <w:num w:numId="3" w16cid:durableId="69157355">
    <w:abstractNumId w:val="4"/>
  </w:num>
  <w:num w:numId="4" w16cid:durableId="299237773">
    <w:abstractNumId w:val="5"/>
  </w:num>
  <w:num w:numId="5" w16cid:durableId="1859586011">
    <w:abstractNumId w:val="0"/>
  </w:num>
  <w:num w:numId="6" w16cid:durableId="1947615368">
    <w:abstractNumId w:val="6"/>
  </w:num>
  <w:num w:numId="7" w16cid:durableId="1149395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F0"/>
    <w:rsid w:val="00023725"/>
    <w:rsid w:val="00024B9B"/>
    <w:rsid w:val="000828EF"/>
    <w:rsid w:val="0009426B"/>
    <w:rsid w:val="00115B7D"/>
    <w:rsid w:val="00131842"/>
    <w:rsid w:val="00132DE8"/>
    <w:rsid w:val="001B07D8"/>
    <w:rsid w:val="00216D23"/>
    <w:rsid w:val="00231414"/>
    <w:rsid w:val="00231F6F"/>
    <w:rsid w:val="002A0EF4"/>
    <w:rsid w:val="00300545"/>
    <w:rsid w:val="0031170C"/>
    <w:rsid w:val="00325E64"/>
    <w:rsid w:val="004056D8"/>
    <w:rsid w:val="004223F6"/>
    <w:rsid w:val="00434FF1"/>
    <w:rsid w:val="0047303C"/>
    <w:rsid w:val="004B01B3"/>
    <w:rsid w:val="0053740B"/>
    <w:rsid w:val="0055671C"/>
    <w:rsid w:val="00566555"/>
    <w:rsid w:val="00595122"/>
    <w:rsid w:val="005B514E"/>
    <w:rsid w:val="005F369E"/>
    <w:rsid w:val="00611E22"/>
    <w:rsid w:val="00646026"/>
    <w:rsid w:val="006807AB"/>
    <w:rsid w:val="006A7CED"/>
    <w:rsid w:val="007013F6"/>
    <w:rsid w:val="00716623"/>
    <w:rsid w:val="00756051"/>
    <w:rsid w:val="00763885"/>
    <w:rsid w:val="00816649"/>
    <w:rsid w:val="00841A17"/>
    <w:rsid w:val="00885D0C"/>
    <w:rsid w:val="00886944"/>
    <w:rsid w:val="00897031"/>
    <w:rsid w:val="008B2FF4"/>
    <w:rsid w:val="008B362D"/>
    <w:rsid w:val="008F52E1"/>
    <w:rsid w:val="009513C4"/>
    <w:rsid w:val="00964C9B"/>
    <w:rsid w:val="00966D77"/>
    <w:rsid w:val="009C6B2B"/>
    <w:rsid w:val="009D7E8B"/>
    <w:rsid w:val="00A2207D"/>
    <w:rsid w:val="00A87858"/>
    <w:rsid w:val="00A972B6"/>
    <w:rsid w:val="00AD3220"/>
    <w:rsid w:val="00B05A82"/>
    <w:rsid w:val="00B22BBD"/>
    <w:rsid w:val="00B3047F"/>
    <w:rsid w:val="00BA09AE"/>
    <w:rsid w:val="00BB2251"/>
    <w:rsid w:val="00BE6DBC"/>
    <w:rsid w:val="00C13223"/>
    <w:rsid w:val="00C244EF"/>
    <w:rsid w:val="00C33F51"/>
    <w:rsid w:val="00C77FA7"/>
    <w:rsid w:val="00C90D06"/>
    <w:rsid w:val="00C91EBB"/>
    <w:rsid w:val="00CB1372"/>
    <w:rsid w:val="00CB294C"/>
    <w:rsid w:val="00D926DC"/>
    <w:rsid w:val="00D95737"/>
    <w:rsid w:val="00DB02AE"/>
    <w:rsid w:val="00DB4D96"/>
    <w:rsid w:val="00DD23E2"/>
    <w:rsid w:val="00DD78AC"/>
    <w:rsid w:val="00E44E3D"/>
    <w:rsid w:val="00E56605"/>
    <w:rsid w:val="00EA4F81"/>
    <w:rsid w:val="00ED0036"/>
    <w:rsid w:val="00ED1304"/>
    <w:rsid w:val="00EE34E5"/>
    <w:rsid w:val="00EF1384"/>
    <w:rsid w:val="00F1339E"/>
    <w:rsid w:val="00F447F5"/>
    <w:rsid w:val="00F82387"/>
    <w:rsid w:val="00F867F0"/>
    <w:rsid w:val="00FB3A93"/>
    <w:rsid w:val="00FB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F0CB"/>
  <w15:chartTrackingRefBased/>
  <w15:docId w15:val="{6530DC24-CF3A-452D-BC07-78CEA770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7F0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86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86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86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86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86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86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86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86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86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86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86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86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867F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867F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867F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867F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867F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867F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86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86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86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86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86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867F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867F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867F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86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867F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867F0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F867F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F867F0"/>
    <w:rPr>
      <w:color w:val="467886" w:themeColor="hyperlink"/>
      <w:u w:val="single"/>
    </w:rPr>
  </w:style>
  <w:style w:type="paragraph" w:styleId="Revisjon">
    <w:name w:val="Revision"/>
    <w:hidden/>
    <w:uiPriority w:val="99"/>
    <w:semiHidden/>
    <w:rsid w:val="00132DE8"/>
    <w:pPr>
      <w:spacing w:after="0" w:line="240" w:lineRule="auto"/>
    </w:pPr>
    <w:rPr>
      <w:kern w:val="0"/>
      <w14:ligatures w14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300545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056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056D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056D8"/>
    <w:rPr>
      <w:kern w:val="0"/>
      <w:sz w:val="20"/>
      <w:szCs w:val="20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056D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056D8"/>
    <w:rPr>
      <w:b/>
      <w:bCs/>
      <w:kern w:val="0"/>
      <w:sz w:val="20"/>
      <w:szCs w:val="20"/>
      <w14:ligatures w14:val="none"/>
    </w:rPr>
  </w:style>
  <w:style w:type="character" w:styleId="Fulgthyperkobling">
    <w:name w:val="FollowedHyperlink"/>
    <w:basedOn w:val="Standardskriftforavsnitt"/>
    <w:uiPriority w:val="99"/>
    <w:semiHidden/>
    <w:unhideWhenUsed/>
    <w:rsid w:val="00DB4D9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7018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304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445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075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5304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9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1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4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17394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9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15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4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90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IAGwK1oCBRmmNqCWeK0b9UjegWXsDxMd/edit?tab=t.0" TargetMode="External"/><Relationship Id="rId13" Type="http://schemas.openxmlformats.org/officeDocument/2006/relationships/hyperlink" Target="https://utdanningogpraksis.no/index.php/up/article/view/6371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fmtlbri\Downloads\Utkast%20til%20forskrifter%20for%20tre%20tilskuddsordninger%20(1).pdf" TargetMode="External"/><Relationship Id="rId12" Type="http://schemas.openxmlformats.org/officeDocument/2006/relationships/hyperlink" Target="https://www.udir.no/tall-og-forskning/finn-forskning/rapporter/2025/hvordan-lykkes-med-lokal-kompetanseutvikling-i-praksi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udir.no/kalende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svg"/><Relationship Id="rId10" Type="http://schemas.openxmlformats.org/officeDocument/2006/relationships/hyperlink" Target="https://www.matematikksenteret.no/nyheter/slik-blir-den-nasjonale-satsingen-i-matematik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jeringen.no/no/dokumenter/meld.-st.-34-20232024/id3052898/?ch=1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2F843-69F1-4FB5-B63F-C0A749EB43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1928</Words>
  <Characters>10220</Characters>
  <Application>Microsoft Office Word</Application>
  <DocSecurity>0</DocSecurity>
  <Lines>85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Rist, Bjørn</dc:creator>
  <cp:keywords/>
  <dc:description/>
  <cp:lastModifiedBy>Lyng, Ragnhild Sperstad</cp:lastModifiedBy>
  <cp:revision>8</cp:revision>
  <dcterms:created xsi:type="dcterms:W3CDTF">2025-03-17T09:58:00Z</dcterms:created>
  <dcterms:modified xsi:type="dcterms:W3CDTF">2025-03-21T07:16:00Z</dcterms:modified>
</cp:coreProperties>
</file>